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SZOFTVERSZOLGÁLTATÁSI SZERZŐDÉS</w:t>
      </w:r>
    </w:p>
    <w:p>
      <w:r>
        <w:t>Felek: PestTrade Kft. (adószám: 24680242-2-42) és DataPharm Kft. (adószám: 98765434-2-41)</w:t>
      </w:r>
    </w:p>
    <w:p>
      <w:r>
        <w:t>Hatály kezdete: 2026.02.01</w:t>
        <w:br/>
        <w:t>Lejárat: 2027.01.31</w:t>
        <w:br/>
        <w:t>Havi díj: 2 000 000 Ft + 27% ÁFA</w:t>
      </w:r>
    </w:p>
    <w:p>
      <w:r>
        <w:t>Change of control: 50% feletti tulajdonosi változás esetén azonnali felmondás.</w:t>
      </w:r>
    </w:p>
    <w:p>
      <w:r>
        <w:t>Automatikus megújulás aktív 60 napos előzetes felmondási idővel.</w:t>
      </w:r>
    </w:p>
    <w:p>
      <w:r>
        <w:t>Kötbér: SLA-hiányonként 100 000 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