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TITOKTARTÁSI MEGÁLLAPODÁS</w:t>
      </w:r>
    </w:p>
    <w:p>
      <w:r>
        <w:t>Felek: GlobalCorp Zrt. (adószám: 33445568-2-42) és DataVendor Kft. (adószám: 99001124-2-42)</w:t>
      </w:r>
    </w:p>
    <w:p>
      <w:r>
        <w:t>Hatály kezdete: 2026.03.01</w:t>
        <w:br/>
        <w:t>Lejárat: 2028.03.01</w:t>
      </w:r>
    </w:p>
    <w:p>
      <w:r>
        <w:t>Titoktartás: lejárat után 2 évig.</w:t>
        <w:br/>
        <w:t>Irányadó jog: magyar Ptk.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