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 FLOW STATEMENT</w:t>
      </w:r>
    </w:p>
    <w:p>
      <w:r>
        <w:t>Company: Alpine Biotech AG</w:t>
        <w:br/>
        <w:t>Period: 2025-01-01 to 2025-12-31</w:t>
        <w:br/>
        <w:t>Standard: IFRS</w:t>
        <w:br/>
        <w:t>Currency: CHF</w:t>
      </w:r>
    </w:p>
    <w:p>
      <w:r>
        <w:t>Operating: +57 600 kCHF</w:t>
        <w:br/>
        <w:t>Investing: -79 500 kCHF (Production CapEx -67 400, R&amp;D -12 100)</w:t>
        <w:br/>
        <w:t>Financing: +26 800 kCHF (Bond 35 000, Dividend -8 200)</w:t>
        <w:br/>
        <w:t>Net change in cash: +4 900 kCHF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