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EREDMÉNYKIMUTATÁS</w:t>
      </w:r>
    </w:p>
    <w:p>
      <w:r>
        <w:t>Cég: FutureTech Kft.</w:t>
        <w:br/>
        <w:t>Időszak: 2025.01.01 -- 2025.12.31</w:t>
        <w:br/>
        <w:t>Számvitel: HÁR</w:t>
      </w:r>
    </w:p>
    <w:p>
      <w:r>
        <w:t>Bevételek 2025: 497 500 eFt (2024: 420 700 eFt, +18,3%)</w:t>
        <w:br/>
        <w:t>Üzemi költségek 2025: 370 600 eFt (2024: 328 700 eFt)</w:t>
        <w:br/>
        <w:t>EBIT 2025: 126 900 eFt (2024: 92 000 eFt, +37,9%)</w:t>
        <w:br/>
        <w:t>Adózás előtti eredmény: 122 400 eFt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