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SZÁMLA</w:t>
      </w:r>
    </w:p>
    <w:p>
      <w:r>
        <w:t>Számla száma: 2026/002</w:t>
        <w:br/>
        <w:t>Kiállítás dátuma: 2026.02.28</w:t>
        <w:br/>
        <w:t>Teljesítés dátuma: 2026.02.27</w:t>
        <w:br/>
        <w:t>Fizetési határidő: 2026.03.30</w:t>
      </w:r>
    </w:p>
    <w:p>
      <w:pPr>
        <w:pStyle w:val="Heading1"/>
      </w:pPr>
      <w:r>
        <w:t>Kiállító</w:t>
      </w:r>
    </w:p>
    <w:p>
      <w:r>
        <w:t>BudaSoft Bt.</w:t>
        <w:br/>
        <w:t>Adószám: 12345676-2-42</w:t>
        <w:br/>
        <w:t>Cím: 1137 Budapest, Szent István krt. 12.</w:t>
      </w:r>
    </w:p>
    <w:p>
      <w:pPr>
        <w:pStyle w:val="Heading1"/>
      </w:pPr>
      <w:r>
        <w:t>Vevő</w:t>
      </w:r>
    </w:p>
    <w:p>
      <w:r>
        <w:t>DataPharm Kft.</w:t>
        <w:br/>
        <w:t>Adószám: 98765434-2-41</w:t>
        <w:br/>
        <w:t>Cím: 1095 Budapest, Lechner Ödön fasor 9.</w:t>
      </w:r>
    </w:p>
    <w:p>
      <w:pPr>
        <w:pStyle w:val="Heading1"/>
      </w:pPr>
      <w:r>
        <w:t>Tételek</w:t>
      </w:r>
    </w:p>
    <w:p>
      <w:r>
        <w:t>Szoftverfejlesztési szolgáltatás -- 42 db -- 52 500 Ft/db -- nettó 2 205 000 Ft -- ÁFA 27%</w:t>
      </w:r>
    </w:p>
    <w:p>
      <w:pPr>
        <w:pStyle w:val="Heading1"/>
      </w:pPr>
      <w:r>
        <w:t>Végösszegek</w:t>
      </w:r>
    </w:p>
    <w:p>
      <w:r>
        <w:t>Nettó végösszeg: 2 205 000 Ft</w:t>
        <w:br/>
        <w:t>ÁFA összesen: 595 350 Ft</w:t>
        <w:br/>
        <w:t>Bruttó végösszeg: 2 800 350 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