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2026/003</w:t>
        <w:br/>
        <w:t>Kiállítás dátuma: 2026.03.31</w:t>
        <w:br/>
        <w:t>Teljesítés dátuma: 2026.03.29</w:t>
        <w:br/>
        <w:t>Fizetési határidő: 2026.04.30</w:t>
      </w:r>
    </w:p>
    <w:p>
      <w:pPr>
        <w:pStyle w:val="Heading1"/>
      </w:pPr>
      <w:r>
        <w:t>Kiállító</w:t>
      </w:r>
    </w:p>
    <w:p>
      <w:r>
        <w:t>BudaSoft Bt.</w:t>
        <w:br/>
        <w:t>Adószám: 12345676-2-42</w:t>
        <w:br/>
        <w:t>Cím: 1137 Budapest, Szent István krt. 12.</w:t>
      </w:r>
    </w:p>
    <w:p>
      <w:pPr>
        <w:pStyle w:val="Heading1"/>
      </w:pPr>
      <w:r>
        <w:t>Vevő</w:t>
      </w:r>
    </w:p>
    <w:p>
      <w:r>
        <w:t>DataPharm Kft.</w:t>
        <w:br/>
        <w:t>Adószám: 98765434-2-41</w:t>
        <w:br/>
        <w:t>Cím: 1095 Budapest, Lechner Ödön fasor 9.</w:t>
      </w:r>
    </w:p>
    <w:p>
      <w:pPr>
        <w:pStyle w:val="Heading1"/>
      </w:pPr>
      <w:r>
        <w:t>Tételek</w:t>
      </w:r>
    </w:p>
    <w:p>
      <w:r>
        <w:t>Szoftverfejlesztési szolgáltatás -- 44 db -- 75 000 Ft/db -- nettó 3 300 000 Ft -- ÁFA 27%</w:t>
      </w:r>
    </w:p>
    <w:p>
      <w:pPr>
        <w:pStyle w:val="Heading1"/>
      </w:pPr>
      <w:r>
        <w:t>Végösszegek</w:t>
      </w:r>
    </w:p>
    <w:p>
      <w:r>
        <w:t>Nettó végösszeg: 3 300 000 Ft</w:t>
        <w:br/>
        <w:t>ÁFA összesen: 891 000 Ft</w:t>
        <w:br/>
        <w:t>Bruttó végösszeg: 4 191 000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