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36DB9" w14:textId="1547D3F9" w:rsidR="00CE5A47" w:rsidRDefault="00673026" w:rsidP="00673026">
      <w:pPr>
        <w:spacing w:line="480" w:lineRule="auto"/>
        <w:contextualSpacing/>
        <w:jc w:val="center"/>
        <w:rPr>
          <w:rFonts w:ascii="Times New Roman" w:hAnsi="Times New Roman" w:cs="Times New Roman"/>
          <w:sz w:val="28"/>
          <w:szCs w:val="28"/>
        </w:rPr>
      </w:pPr>
      <w:r w:rsidRPr="00673026">
        <w:rPr>
          <w:rFonts w:ascii="Times New Roman" w:hAnsi="Times New Roman" w:cs="Times New Roman"/>
          <w:b/>
          <w:bCs/>
          <w:sz w:val="28"/>
          <w:szCs w:val="28"/>
        </w:rPr>
        <w:t xml:space="preserve">Modelling the Impact of </w:t>
      </w:r>
      <w:r w:rsidR="00E05775" w:rsidRPr="00673026">
        <w:rPr>
          <w:rFonts w:ascii="Times New Roman" w:hAnsi="Times New Roman" w:cs="Times New Roman"/>
          <w:b/>
          <w:bCs/>
          <w:sz w:val="28"/>
          <w:szCs w:val="28"/>
        </w:rPr>
        <w:t>Subnational Dengue Vaccination </w:t>
      </w:r>
      <w:r w:rsidR="00E05775">
        <w:rPr>
          <w:rFonts w:ascii="Times New Roman" w:hAnsi="Times New Roman" w:cs="Times New Roman"/>
          <w:b/>
          <w:bCs/>
          <w:sz w:val="28"/>
          <w:szCs w:val="28"/>
        </w:rPr>
        <w:t xml:space="preserve">on </w:t>
      </w:r>
      <w:r w:rsidRPr="00673026">
        <w:rPr>
          <w:rFonts w:ascii="Times New Roman" w:hAnsi="Times New Roman" w:cs="Times New Roman"/>
          <w:b/>
          <w:bCs/>
          <w:sz w:val="28"/>
          <w:szCs w:val="28"/>
        </w:rPr>
        <w:t>Dengue Haemorrhagic Fever in Indonesia</w:t>
      </w:r>
    </w:p>
    <w:p w14:paraId="36B60834" w14:textId="77777777" w:rsidR="003C7A84" w:rsidRPr="000A03F1" w:rsidRDefault="003C7A84" w:rsidP="00741A05">
      <w:pPr>
        <w:spacing w:line="480" w:lineRule="auto"/>
        <w:contextualSpacing/>
        <w:jc w:val="both"/>
        <w:rPr>
          <w:rFonts w:ascii="Times New Roman" w:hAnsi="Times New Roman" w:cs="Times New Roman"/>
          <w:sz w:val="28"/>
          <w:szCs w:val="28"/>
        </w:rPr>
      </w:pPr>
    </w:p>
    <w:p w14:paraId="4444F426" w14:textId="77777777" w:rsidR="00CE5A47" w:rsidRPr="000A03F1" w:rsidRDefault="00CE5A47" w:rsidP="00741A05">
      <w:pPr>
        <w:spacing w:line="480" w:lineRule="auto"/>
        <w:contextualSpacing/>
        <w:jc w:val="center"/>
        <w:rPr>
          <w:rFonts w:ascii="Times New Roman" w:hAnsi="Times New Roman" w:cs="Times New Roman"/>
          <w:sz w:val="28"/>
          <w:szCs w:val="28"/>
        </w:rPr>
      </w:pPr>
      <w:r w:rsidRPr="000A03F1">
        <w:rPr>
          <w:rFonts w:ascii="Times New Roman" w:hAnsi="Times New Roman" w:cs="Times New Roman"/>
          <w:noProof/>
          <w:sz w:val="28"/>
          <w:szCs w:val="28"/>
        </w:rPr>
        <w:drawing>
          <wp:inline distT="0" distB="0" distL="0" distR="0" wp14:anchorId="116EC188" wp14:editId="61033627">
            <wp:extent cx="1682750" cy="2006600"/>
            <wp:effectExtent l="0" t="0" r="0" b="0"/>
            <wp:docPr id="247686457" name="Picture 24768645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750" cy="2006600"/>
                    </a:xfrm>
                    <a:prstGeom prst="rect">
                      <a:avLst/>
                    </a:prstGeom>
                    <a:noFill/>
                    <a:ln>
                      <a:noFill/>
                    </a:ln>
                  </pic:spPr>
                </pic:pic>
              </a:graphicData>
            </a:graphic>
          </wp:inline>
        </w:drawing>
      </w:r>
    </w:p>
    <w:p w14:paraId="24573A83" w14:textId="77777777" w:rsidR="00CE5A47" w:rsidRPr="000A03F1" w:rsidRDefault="00CE5A47" w:rsidP="00741A05">
      <w:pPr>
        <w:spacing w:line="480" w:lineRule="auto"/>
        <w:contextualSpacing/>
        <w:jc w:val="both"/>
        <w:rPr>
          <w:rFonts w:ascii="Times New Roman" w:hAnsi="Times New Roman" w:cs="Times New Roman"/>
          <w:sz w:val="28"/>
          <w:szCs w:val="28"/>
        </w:rPr>
      </w:pPr>
    </w:p>
    <w:p w14:paraId="7067C87E" w14:textId="134210F1" w:rsidR="00CE5A47" w:rsidRPr="000A03F1" w:rsidRDefault="00CE5A47" w:rsidP="00741A05">
      <w:pPr>
        <w:pStyle w:val="Title"/>
        <w:spacing w:line="480" w:lineRule="auto"/>
        <w:contextualSpacing/>
        <w:jc w:val="center"/>
        <w:rPr>
          <w:rFonts w:ascii="Times New Roman" w:hAnsi="Times New Roman" w:cs="Times New Roman"/>
          <w:sz w:val="28"/>
          <w:szCs w:val="28"/>
        </w:rPr>
      </w:pPr>
      <w:r w:rsidRPr="000A03F1">
        <w:rPr>
          <w:rFonts w:ascii="Times New Roman" w:hAnsi="Times New Roman" w:cs="Times New Roman"/>
          <w:sz w:val="28"/>
          <w:szCs w:val="28"/>
        </w:rPr>
        <w:t xml:space="preserve">Candidate Number: </w:t>
      </w:r>
      <w:r w:rsidR="00450F27" w:rsidRPr="00450F27">
        <w:rPr>
          <w:rFonts w:ascii="Times New Roman" w:hAnsi="Times New Roman" w:cs="Times New Roman"/>
          <w:sz w:val="28"/>
          <w:szCs w:val="28"/>
        </w:rPr>
        <w:t>1071063</w:t>
      </w:r>
    </w:p>
    <w:p w14:paraId="58838315" w14:textId="340CCE28" w:rsidR="00CE5A47" w:rsidRPr="000A03F1" w:rsidRDefault="00CE5A47" w:rsidP="00741A05">
      <w:pPr>
        <w:pStyle w:val="Title"/>
        <w:spacing w:line="480" w:lineRule="auto"/>
        <w:contextualSpacing/>
        <w:jc w:val="center"/>
        <w:rPr>
          <w:rFonts w:ascii="Times New Roman" w:hAnsi="Times New Roman" w:cs="Times New Roman"/>
          <w:sz w:val="28"/>
          <w:szCs w:val="28"/>
        </w:rPr>
      </w:pPr>
      <w:r w:rsidRPr="000A03F1">
        <w:rPr>
          <w:rFonts w:ascii="Times New Roman" w:hAnsi="Times New Roman" w:cs="Times New Roman"/>
          <w:sz w:val="28"/>
          <w:szCs w:val="28"/>
        </w:rPr>
        <w:t xml:space="preserve">Word Count: </w:t>
      </w:r>
      <w:r w:rsidR="00320BEA" w:rsidRPr="000A03F1">
        <w:rPr>
          <w:rFonts w:ascii="Times New Roman" w:hAnsi="Times New Roman" w:cs="Times New Roman"/>
          <w:sz w:val="28"/>
          <w:szCs w:val="28"/>
        </w:rPr>
        <w:t>357</w:t>
      </w:r>
      <w:r w:rsidR="00E34E63" w:rsidRPr="000A03F1">
        <w:rPr>
          <w:rFonts w:ascii="Times New Roman" w:hAnsi="Times New Roman" w:cs="Times New Roman"/>
          <w:sz w:val="28"/>
          <w:szCs w:val="28"/>
        </w:rPr>
        <w:t>7</w:t>
      </w:r>
    </w:p>
    <w:p w14:paraId="48489977" w14:textId="77777777" w:rsidR="00CE5A47" w:rsidRPr="000A03F1" w:rsidRDefault="00CE5A47" w:rsidP="00741A05">
      <w:pPr>
        <w:spacing w:line="480" w:lineRule="auto"/>
        <w:contextualSpacing/>
        <w:jc w:val="center"/>
        <w:rPr>
          <w:rFonts w:ascii="Times New Roman" w:hAnsi="Times New Roman" w:cs="Times New Roman"/>
          <w:sz w:val="28"/>
          <w:szCs w:val="28"/>
        </w:rPr>
      </w:pPr>
    </w:p>
    <w:p w14:paraId="0471D4B9" w14:textId="77777777" w:rsidR="00CE5A47" w:rsidRPr="000A03F1" w:rsidRDefault="00CE5A47" w:rsidP="00741A05">
      <w:pPr>
        <w:spacing w:line="480" w:lineRule="auto"/>
        <w:contextualSpacing/>
        <w:jc w:val="center"/>
        <w:rPr>
          <w:rFonts w:ascii="Times New Roman" w:hAnsi="Times New Roman" w:cs="Times New Roman"/>
          <w:sz w:val="28"/>
          <w:szCs w:val="28"/>
        </w:rPr>
      </w:pPr>
    </w:p>
    <w:p w14:paraId="1DFA740F" w14:textId="77777777" w:rsidR="00CE5A47" w:rsidRPr="000A03F1" w:rsidRDefault="00CE5A47" w:rsidP="00741A05">
      <w:pPr>
        <w:pStyle w:val="Title"/>
        <w:spacing w:line="480" w:lineRule="auto"/>
        <w:contextualSpacing/>
        <w:jc w:val="center"/>
        <w:rPr>
          <w:rFonts w:ascii="Times New Roman" w:hAnsi="Times New Roman" w:cs="Times New Roman"/>
          <w:sz w:val="28"/>
          <w:szCs w:val="28"/>
        </w:rPr>
      </w:pPr>
      <w:r w:rsidRPr="000A03F1">
        <w:rPr>
          <w:rFonts w:ascii="Times New Roman" w:hAnsi="Times New Roman" w:cs="Times New Roman"/>
          <w:sz w:val="28"/>
          <w:szCs w:val="28"/>
        </w:rPr>
        <w:t>Dissertation submitted in partial fulfilment</w:t>
      </w:r>
      <w:r w:rsidRPr="000A03F1">
        <w:rPr>
          <w:rFonts w:ascii="Times New Roman" w:hAnsi="Times New Roman" w:cs="Times New Roman"/>
          <w:sz w:val="28"/>
          <w:szCs w:val="28"/>
        </w:rPr>
        <w:br/>
        <w:t>of the requirements for the Degree of</w:t>
      </w:r>
      <w:r w:rsidRPr="000A03F1">
        <w:rPr>
          <w:rFonts w:ascii="Times New Roman" w:hAnsi="Times New Roman" w:cs="Times New Roman"/>
          <w:sz w:val="28"/>
          <w:szCs w:val="28"/>
        </w:rPr>
        <w:br/>
      </w:r>
      <w:r w:rsidRPr="000A03F1">
        <w:rPr>
          <w:rFonts w:ascii="Times New Roman" w:hAnsi="Times New Roman" w:cs="Times New Roman"/>
          <w:i/>
          <w:iCs/>
          <w:sz w:val="28"/>
          <w:szCs w:val="28"/>
        </w:rPr>
        <w:t>Master of Science in Modelling for Global Health</w:t>
      </w:r>
    </w:p>
    <w:p w14:paraId="200FFD1C" w14:textId="77777777" w:rsidR="00D44203" w:rsidRPr="000A03F1" w:rsidRDefault="00D44203" w:rsidP="00741A05">
      <w:pPr>
        <w:spacing w:after="160" w:line="480" w:lineRule="auto"/>
        <w:contextualSpacing/>
        <w:jc w:val="center"/>
        <w:rPr>
          <w:rFonts w:ascii="Times New Roman" w:hAnsi="Times New Roman" w:cs="Times New Roman"/>
          <w:b/>
          <w:sz w:val="24"/>
          <w:szCs w:val="24"/>
        </w:rPr>
        <w:sectPr w:rsidR="00D44203" w:rsidRPr="000A03F1" w:rsidSect="004F62BB">
          <w:pgSz w:w="12240" w:h="15840"/>
          <w:pgMar w:top="1440" w:right="1440" w:bottom="1440" w:left="1440" w:header="720" w:footer="720" w:gutter="0"/>
          <w:pgNumType w:start="1"/>
          <w:cols w:space="720"/>
          <w:docGrid w:linePitch="299"/>
        </w:sectPr>
      </w:pPr>
    </w:p>
    <w:p w14:paraId="0C57336C" w14:textId="6976D93B" w:rsidR="00DA4065" w:rsidRPr="000A03F1" w:rsidRDefault="001F04BB" w:rsidP="004D5D10">
      <w:pPr>
        <w:pStyle w:val="Heading1"/>
        <w:rPr>
          <w:rFonts w:ascii="Times New Roman" w:hAnsi="Times New Roman" w:cs="Times New Roman"/>
        </w:rPr>
      </w:pPr>
      <w:r w:rsidRPr="000A03F1">
        <w:rPr>
          <w:rFonts w:ascii="Times New Roman" w:hAnsi="Times New Roman" w:cs="Times New Roman"/>
        </w:rPr>
        <w:lastRenderedPageBreak/>
        <w:t>Acknowledgement</w:t>
      </w:r>
    </w:p>
    <w:p w14:paraId="3698D714" w14:textId="5B32239F" w:rsidR="00CA1C68" w:rsidRPr="000A03F1" w:rsidRDefault="00CA1C68" w:rsidP="001D328D">
      <w:pPr>
        <w:spacing w:after="160" w:line="480" w:lineRule="auto"/>
        <w:ind w:firstLine="720"/>
        <w:contextualSpacing/>
        <w:jc w:val="both"/>
        <w:rPr>
          <w:rFonts w:ascii="Times New Roman" w:hAnsi="Times New Roman" w:cs="Times New Roman"/>
          <w:bCs/>
          <w:sz w:val="24"/>
          <w:szCs w:val="24"/>
        </w:rPr>
      </w:pPr>
      <w:r w:rsidRPr="000A03F1">
        <w:rPr>
          <w:rFonts w:ascii="Times New Roman" w:hAnsi="Times New Roman" w:cs="Times New Roman"/>
          <w:bCs/>
          <w:sz w:val="24"/>
          <w:szCs w:val="24"/>
        </w:rPr>
        <w:t xml:space="preserve">I would like to express my heartfelt gratitude to those who have been a constant source of support and encouragement throughout this journey. To my family, whose unwavering love and understanding have been my anchor in times of challenge. </w:t>
      </w:r>
      <w:r w:rsidR="0024654D" w:rsidRPr="000A03F1">
        <w:rPr>
          <w:rFonts w:ascii="Times New Roman" w:hAnsi="Times New Roman" w:cs="Times New Roman"/>
          <w:bCs/>
          <w:sz w:val="24"/>
          <w:szCs w:val="24"/>
        </w:rPr>
        <w:t xml:space="preserve">Especially to my mother, S.W., and my father, M.S., without whom I am certain I wouldn't have been able to </w:t>
      </w:r>
      <w:r w:rsidR="00D46AE1" w:rsidRPr="000A03F1">
        <w:rPr>
          <w:rFonts w:ascii="Times New Roman" w:hAnsi="Times New Roman" w:cs="Times New Roman"/>
          <w:bCs/>
          <w:sz w:val="24"/>
          <w:szCs w:val="24"/>
        </w:rPr>
        <w:t>cross</w:t>
      </w:r>
      <w:r w:rsidR="0024654D" w:rsidRPr="000A03F1">
        <w:rPr>
          <w:rFonts w:ascii="Times New Roman" w:hAnsi="Times New Roman" w:cs="Times New Roman"/>
          <w:bCs/>
          <w:sz w:val="24"/>
          <w:szCs w:val="24"/>
        </w:rPr>
        <w:t xml:space="preserve"> this path, given all the love and prayers they have bestowed upon me</w:t>
      </w:r>
      <w:r w:rsidRPr="000A03F1">
        <w:rPr>
          <w:rFonts w:ascii="Times New Roman" w:hAnsi="Times New Roman" w:cs="Times New Roman"/>
          <w:bCs/>
          <w:sz w:val="24"/>
          <w:szCs w:val="24"/>
        </w:rPr>
        <w:t xml:space="preserve">. Not to mention my </w:t>
      </w:r>
      <w:r w:rsidR="00D53CE1" w:rsidRPr="000A03F1">
        <w:rPr>
          <w:rFonts w:ascii="Times New Roman" w:hAnsi="Times New Roman" w:cs="Times New Roman"/>
          <w:bCs/>
          <w:sz w:val="24"/>
          <w:szCs w:val="24"/>
        </w:rPr>
        <w:t xml:space="preserve">sincere </w:t>
      </w:r>
      <w:r w:rsidRPr="000A03F1">
        <w:rPr>
          <w:rFonts w:ascii="Times New Roman" w:hAnsi="Times New Roman" w:cs="Times New Roman"/>
          <w:bCs/>
          <w:sz w:val="24"/>
          <w:szCs w:val="24"/>
        </w:rPr>
        <w:t xml:space="preserve">grandmother, S., who </w:t>
      </w:r>
      <w:r w:rsidR="003700EB" w:rsidRPr="000A03F1">
        <w:rPr>
          <w:rFonts w:ascii="Times New Roman" w:hAnsi="Times New Roman" w:cs="Times New Roman"/>
          <w:bCs/>
          <w:sz w:val="24"/>
          <w:szCs w:val="24"/>
        </w:rPr>
        <w:t>had</w:t>
      </w:r>
      <w:r w:rsidRPr="000A03F1">
        <w:rPr>
          <w:rFonts w:ascii="Times New Roman" w:hAnsi="Times New Roman" w:cs="Times New Roman"/>
          <w:bCs/>
          <w:sz w:val="24"/>
          <w:szCs w:val="24"/>
        </w:rPr>
        <w:t xml:space="preserve"> been </w:t>
      </w:r>
      <w:r w:rsidR="00D94272" w:rsidRPr="000A03F1">
        <w:rPr>
          <w:rFonts w:ascii="Times New Roman" w:hAnsi="Times New Roman" w:cs="Times New Roman"/>
          <w:bCs/>
          <w:sz w:val="24"/>
          <w:szCs w:val="24"/>
        </w:rPr>
        <w:t>devoted</w:t>
      </w:r>
      <w:r w:rsidRPr="000A03F1">
        <w:rPr>
          <w:rFonts w:ascii="Times New Roman" w:hAnsi="Times New Roman" w:cs="Times New Roman"/>
          <w:bCs/>
          <w:sz w:val="24"/>
          <w:szCs w:val="24"/>
        </w:rPr>
        <w:t xml:space="preserve"> </w:t>
      </w:r>
      <w:r w:rsidR="00D94272" w:rsidRPr="000A03F1">
        <w:rPr>
          <w:rFonts w:ascii="Times New Roman" w:hAnsi="Times New Roman" w:cs="Times New Roman"/>
          <w:bCs/>
          <w:sz w:val="24"/>
          <w:szCs w:val="24"/>
        </w:rPr>
        <w:t>to</w:t>
      </w:r>
      <w:r w:rsidRPr="000A03F1">
        <w:rPr>
          <w:rFonts w:ascii="Times New Roman" w:hAnsi="Times New Roman" w:cs="Times New Roman"/>
          <w:bCs/>
          <w:sz w:val="24"/>
          <w:szCs w:val="24"/>
        </w:rPr>
        <w:t xml:space="preserve"> raising me</w:t>
      </w:r>
      <w:r w:rsidR="00741A69" w:rsidRPr="000A03F1">
        <w:rPr>
          <w:rFonts w:ascii="Times New Roman" w:hAnsi="Times New Roman" w:cs="Times New Roman"/>
          <w:bCs/>
          <w:sz w:val="24"/>
          <w:szCs w:val="24"/>
        </w:rPr>
        <w:t>, offering unwavering attention and love</w:t>
      </w:r>
      <w:r w:rsidRPr="000A03F1">
        <w:rPr>
          <w:rFonts w:ascii="Times New Roman" w:hAnsi="Times New Roman" w:cs="Times New Roman"/>
          <w:bCs/>
          <w:sz w:val="24"/>
          <w:szCs w:val="24"/>
        </w:rPr>
        <w:t xml:space="preserve">. </w:t>
      </w:r>
    </w:p>
    <w:p w14:paraId="0F6B7741" w14:textId="67F53B8A" w:rsidR="005149F6" w:rsidRPr="000A03F1" w:rsidRDefault="005149F6" w:rsidP="001D328D">
      <w:pPr>
        <w:spacing w:after="160" w:line="480" w:lineRule="auto"/>
        <w:ind w:firstLine="720"/>
        <w:contextualSpacing/>
        <w:jc w:val="both"/>
        <w:rPr>
          <w:rFonts w:ascii="Times New Roman" w:hAnsi="Times New Roman" w:cs="Times New Roman"/>
          <w:bCs/>
          <w:sz w:val="24"/>
          <w:szCs w:val="24"/>
        </w:rPr>
      </w:pPr>
      <w:r w:rsidRPr="000A03F1">
        <w:rPr>
          <w:rFonts w:ascii="Times New Roman" w:hAnsi="Times New Roman" w:cs="Times New Roman"/>
          <w:bCs/>
          <w:sz w:val="24"/>
          <w:szCs w:val="24"/>
        </w:rPr>
        <w:t>To my supervisor, academic advisor, college advisor</w:t>
      </w:r>
      <w:r w:rsidR="006C0A3C" w:rsidRPr="000A03F1">
        <w:rPr>
          <w:rFonts w:ascii="Times New Roman" w:hAnsi="Times New Roman" w:cs="Times New Roman"/>
          <w:bCs/>
          <w:sz w:val="24"/>
          <w:szCs w:val="24"/>
        </w:rPr>
        <w:t>, mentors,</w:t>
      </w:r>
      <w:r w:rsidRPr="000A03F1">
        <w:rPr>
          <w:rFonts w:ascii="Times New Roman" w:hAnsi="Times New Roman" w:cs="Times New Roman"/>
          <w:bCs/>
          <w:sz w:val="24"/>
          <w:szCs w:val="24"/>
        </w:rPr>
        <w:t xml:space="preserve"> and all the staffs of MSc MGH teams who have provided </w:t>
      </w:r>
      <w:r w:rsidR="00512D14" w:rsidRPr="000A03F1">
        <w:rPr>
          <w:rFonts w:ascii="Times New Roman" w:hAnsi="Times New Roman" w:cs="Times New Roman"/>
          <w:bCs/>
          <w:sz w:val="24"/>
          <w:szCs w:val="24"/>
        </w:rPr>
        <w:t xml:space="preserve">me </w:t>
      </w:r>
      <w:r w:rsidRPr="000A03F1">
        <w:rPr>
          <w:rFonts w:ascii="Times New Roman" w:hAnsi="Times New Roman" w:cs="Times New Roman"/>
          <w:bCs/>
          <w:sz w:val="24"/>
          <w:szCs w:val="24"/>
        </w:rPr>
        <w:t>guidance, insights, and assistance along the way. Your contributions have been invaluable to me.</w:t>
      </w:r>
    </w:p>
    <w:p w14:paraId="660415A7" w14:textId="7AF6A1CC" w:rsidR="00CA1C68" w:rsidRPr="000A03F1" w:rsidRDefault="00B4220F" w:rsidP="001D328D">
      <w:pPr>
        <w:spacing w:after="160" w:line="480" w:lineRule="auto"/>
        <w:ind w:firstLine="720"/>
        <w:contextualSpacing/>
        <w:jc w:val="both"/>
        <w:rPr>
          <w:rFonts w:ascii="Times New Roman" w:hAnsi="Times New Roman" w:cs="Times New Roman"/>
          <w:bCs/>
          <w:sz w:val="24"/>
          <w:szCs w:val="24"/>
        </w:rPr>
      </w:pPr>
      <w:r w:rsidRPr="000A03F1">
        <w:rPr>
          <w:rFonts w:ascii="Times New Roman" w:hAnsi="Times New Roman" w:cs="Times New Roman"/>
          <w:bCs/>
          <w:sz w:val="24"/>
          <w:szCs w:val="24"/>
        </w:rPr>
        <w:t>Additionally,</w:t>
      </w:r>
      <w:r w:rsidR="00CA1C68" w:rsidRPr="000A03F1">
        <w:rPr>
          <w:rFonts w:ascii="Times New Roman" w:hAnsi="Times New Roman" w:cs="Times New Roman"/>
          <w:bCs/>
          <w:sz w:val="24"/>
          <w:szCs w:val="24"/>
        </w:rPr>
        <w:t xml:space="preserve"> my cherished friends, N.</w:t>
      </w:r>
      <w:r w:rsidRPr="000A03F1">
        <w:rPr>
          <w:rFonts w:ascii="Times New Roman" w:hAnsi="Times New Roman" w:cs="Times New Roman"/>
          <w:bCs/>
          <w:sz w:val="24"/>
          <w:szCs w:val="24"/>
        </w:rPr>
        <w:t>M.</w:t>
      </w:r>
      <w:r w:rsidR="00CA1C68" w:rsidRPr="000A03F1">
        <w:rPr>
          <w:rFonts w:ascii="Times New Roman" w:hAnsi="Times New Roman" w:cs="Times New Roman"/>
          <w:bCs/>
          <w:sz w:val="24"/>
          <w:szCs w:val="24"/>
        </w:rPr>
        <w:t xml:space="preserve">A.S., K.D.S., V.M., N.I.E., </w:t>
      </w:r>
      <w:r w:rsidR="00F278E0" w:rsidRPr="000A03F1">
        <w:rPr>
          <w:rFonts w:ascii="Times New Roman" w:hAnsi="Times New Roman" w:cs="Times New Roman"/>
          <w:bCs/>
          <w:sz w:val="24"/>
          <w:szCs w:val="24"/>
        </w:rPr>
        <w:t>A.W.,</w:t>
      </w:r>
      <w:r w:rsidR="000D6B3A" w:rsidRPr="000A03F1">
        <w:rPr>
          <w:rFonts w:ascii="Times New Roman" w:hAnsi="Times New Roman" w:cs="Times New Roman"/>
          <w:bCs/>
          <w:sz w:val="24"/>
          <w:szCs w:val="24"/>
        </w:rPr>
        <w:t xml:space="preserve"> F.I.R,</w:t>
      </w:r>
      <w:r w:rsidR="00F278E0" w:rsidRPr="000A03F1">
        <w:rPr>
          <w:rFonts w:ascii="Times New Roman" w:hAnsi="Times New Roman" w:cs="Times New Roman"/>
          <w:bCs/>
          <w:sz w:val="24"/>
          <w:szCs w:val="24"/>
        </w:rPr>
        <w:t xml:space="preserve"> </w:t>
      </w:r>
      <w:r w:rsidR="00CA1C68" w:rsidRPr="000A03F1">
        <w:rPr>
          <w:rFonts w:ascii="Times New Roman" w:hAnsi="Times New Roman" w:cs="Times New Roman"/>
          <w:bCs/>
          <w:sz w:val="24"/>
          <w:szCs w:val="24"/>
        </w:rPr>
        <w:t xml:space="preserve">with all the support and warmth you have given me throughout my </w:t>
      </w:r>
      <w:r w:rsidR="0028059B" w:rsidRPr="000A03F1">
        <w:rPr>
          <w:rFonts w:ascii="Times New Roman" w:hAnsi="Times New Roman" w:cs="Times New Roman"/>
          <w:bCs/>
          <w:sz w:val="24"/>
          <w:szCs w:val="24"/>
        </w:rPr>
        <w:t>time</w:t>
      </w:r>
      <w:r w:rsidR="00CA1C68" w:rsidRPr="000A03F1">
        <w:rPr>
          <w:rFonts w:ascii="Times New Roman" w:hAnsi="Times New Roman" w:cs="Times New Roman"/>
          <w:bCs/>
          <w:sz w:val="24"/>
          <w:szCs w:val="24"/>
        </w:rPr>
        <w:t xml:space="preserve"> in Oxford</w:t>
      </w:r>
      <w:r w:rsidR="001C7823" w:rsidRPr="000A03F1">
        <w:rPr>
          <w:rFonts w:ascii="Times New Roman" w:hAnsi="Times New Roman" w:cs="Times New Roman"/>
          <w:bCs/>
          <w:sz w:val="24"/>
          <w:szCs w:val="24"/>
        </w:rPr>
        <w:t>.</w:t>
      </w:r>
      <w:r w:rsidR="00CA1C68" w:rsidRPr="000A03F1">
        <w:rPr>
          <w:rFonts w:ascii="Times New Roman" w:hAnsi="Times New Roman" w:cs="Times New Roman"/>
          <w:bCs/>
          <w:sz w:val="24"/>
          <w:szCs w:val="24"/>
        </w:rPr>
        <w:t xml:space="preserve"> </w:t>
      </w:r>
      <w:r w:rsidR="001C7823" w:rsidRPr="000A03F1">
        <w:rPr>
          <w:rFonts w:ascii="Times New Roman" w:hAnsi="Times New Roman" w:cs="Times New Roman"/>
          <w:bCs/>
          <w:sz w:val="24"/>
          <w:szCs w:val="24"/>
        </w:rPr>
        <w:t>T</w:t>
      </w:r>
      <w:r w:rsidR="00CA1C68" w:rsidRPr="000A03F1">
        <w:rPr>
          <w:rFonts w:ascii="Times New Roman" w:hAnsi="Times New Roman" w:cs="Times New Roman"/>
          <w:bCs/>
          <w:sz w:val="24"/>
          <w:szCs w:val="24"/>
        </w:rPr>
        <w:t>o all my friends whom I can't mention one by one</w:t>
      </w:r>
      <w:r w:rsidR="001C7823" w:rsidRPr="000A03F1">
        <w:rPr>
          <w:rFonts w:ascii="Times New Roman" w:hAnsi="Times New Roman" w:cs="Times New Roman"/>
          <w:bCs/>
          <w:sz w:val="24"/>
          <w:szCs w:val="24"/>
        </w:rPr>
        <w:t>,</w:t>
      </w:r>
      <w:r w:rsidR="00CA1C68" w:rsidRPr="000A03F1">
        <w:rPr>
          <w:rFonts w:ascii="Times New Roman" w:hAnsi="Times New Roman" w:cs="Times New Roman"/>
          <w:bCs/>
          <w:sz w:val="24"/>
          <w:szCs w:val="24"/>
        </w:rPr>
        <w:t xml:space="preserve"> </w:t>
      </w:r>
      <w:r w:rsidR="001C7823" w:rsidRPr="000A03F1">
        <w:rPr>
          <w:rFonts w:ascii="Times New Roman" w:hAnsi="Times New Roman" w:cs="Times New Roman"/>
          <w:bCs/>
          <w:sz w:val="24"/>
          <w:szCs w:val="24"/>
        </w:rPr>
        <w:t>t</w:t>
      </w:r>
      <w:r w:rsidR="00CA1C68" w:rsidRPr="000A03F1">
        <w:rPr>
          <w:rFonts w:ascii="Times New Roman" w:hAnsi="Times New Roman" w:cs="Times New Roman"/>
          <w:bCs/>
          <w:sz w:val="24"/>
          <w:szCs w:val="24"/>
        </w:rPr>
        <w:t>hank you for your companionship and shared laughter that have illuminated even the darkest days and have been an integral part of my life.</w:t>
      </w:r>
      <w:r w:rsidR="00F61732" w:rsidRPr="000A03F1">
        <w:rPr>
          <w:rFonts w:ascii="Times New Roman" w:hAnsi="Times New Roman" w:cs="Times New Roman"/>
          <w:bCs/>
          <w:sz w:val="24"/>
          <w:szCs w:val="24"/>
        </w:rPr>
        <w:t xml:space="preserve"> </w:t>
      </w:r>
    </w:p>
    <w:p w14:paraId="4775FC84" w14:textId="2187F9FC" w:rsidR="00CA1C68" w:rsidRPr="000A03F1" w:rsidRDefault="00CA1C68" w:rsidP="001D328D">
      <w:pPr>
        <w:spacing w:after="160" w:line="480" w:lineRule="auto"/>
        <w:ind w:firstLine="720"/>
        <w:contextualSpacing/>
        <w:jc w:val="both"/>
        <w:rPr>
          <w:rFonts w:ascii="Times New Roman" w:hAnsi="Times New Roman" w:cs="Times New Roman"/>
          <w:bCs/>
          <w:sz w:val="24"/>
          <w:szCs w:val="24"/>
        </w:rPr>
        <w:sectPr w:rsidR="00CA1C68" w:rsidRPr="000A03F1" w:rsidSect="00D37E9E">
          <w:footerReference w:type="default" r:id="rId9"/>
          <w:pgSz w:w="12240" w:h="15840"/>
          <w:pgMar w:top="1440" w:right="1440" w:bottom="1440" w:left="1440" w:header="720" w:footer="720" w:gutter="0"/>
          <w:pgNumType w:start="1"/>
          <w:cols w:space="720"/>
          <w:docGrid w:linePitch="299"/>
        </w:sectPr>
      </w:pPr>
      <w:r w:rsidRPr="000A03F1">
        <w:rPr>
          <w:rFonts w:ascii="Times New Roman" w:hAnsi="Times New Roman" w:cs="Times New Roman"/>
          <w:bCs/>
          <w:sz w:val="24"/>
          <w:szCs w:val="24"/>
        </w:rPr>
        <w:t>Although not everyone is mentioned by name, your presence in my life is deeply cherished and sincerely acknowledged. Thank you for being a part of my journey.</w:t>
      </w:r>
    </w:p>
    <w:p w14:paraId="05E51E75" w14:textId="469538DE" w:rsidR="00FD06FC" w:rsidRPr="000A03F1" w:rsidRDefault="005476DD" w:rsidP="004D5D10">
      <w:pPr>
        <w:pStyle w:val="Heading1"/>
        <w:rPr>
          <w:rFonts w:ascii="Times New Roman" w:hAnsi="Times New Roman" w:cs="Times New Roman"/>
          <w:shd w:val="clear" w:color="auto" w:fill="FFFFFF"/>
        </w:rPr>
      </w:pPr>
      <w:r>
        <w:rPr>
          <w:rFonts w:ascii="Times New Roman" w:hAnsi="Times New Roman" w:cs="Times New Roman"/>
          <w:shd w:val="clear" w:color="auto" w:fill="FFFFFF"/>
        </w:rPr>
        <w:lastRenderedPageBreak/>
        <w:t>Manuscript Submission</w:t>
      </w:r>
    </w:p>
    <w:p w14:paraId="27601C5A" w14:textId="6543AD57" w:rsidR="00820541" w:rsidRPr="000A03F1" w:rsidRDefault="00055323" w:rsidP="00820541">
      <w:pPr>
        <w:spacing w:after="160" w:line="480" w:lineRule="auto"/>
        <w:ind w:firstLine="720"/>
        <w:contextualSpacing/>
        <w:jc w:val="both"/>
        <w:rPr>
          <w:rFonts w:ascii="Times New Roman" w:hAnsi="Times New Roman" w:cs="Times New Roman"/>
          <w:bCs/>
          <w:sz w:val="24"/>
          <w:szCs w:val="24"/>
        </w:rPr>
        <w:sectPr w:rsidR="00820541" w:rsidRPr="000A03F1" w:rsidSect="006A3D38">
          <w:pgSz w:w="12240" w:h="15840"/>
          <w:pgMar w:top="1440" w:right="1440" w:bottom="1440" w:left="1440" w:header="720" w:footer="720" w:gutter="0"/>
          <w:cols w:space="720"/>
          <w:docGrid w:linePitch="299"/>
        </w:sectPr>
      </w:pPr>
      <w:r>
        <w:rPr>
          <w:rFonts w:ascii="Times New Roman" w:hAnsi="Times New Roman" w:cs="Times New Roman"/>
          <w:bCs/>
          <w:sz w:val="24"/>
          <w:szCs w:val="24"/>
        </w:rPr>
        <w:t xml:space="preserve">This study will be considered for submission to </w:t>
      </w:r>
      <w:proofErr w:type="spellStart"/>
      <w:r>
        <w:rPr>
          <w:rFonts w:ascii="Times New Roman" w:hAnsi="Times New Roman" w:cs="Times New Roman"/>
          <w:bCs/>
          <w:sz w:val="24"/>
          <w:szCs w:val="24"/>
        </w:rPr>
        <w:t>PLoS</w:t>
      </w:r>
      <w:proofErr w:type="spellEnd"/>
      <w:r>
        <w:rPr>
          <w:rFonts w:ascii="Times New Roman" w:hAnsi="Times New Roman" w:cs="Times New Roman"/>
          <w:bCs/>
          <w:sz w:val="24"/>
          <w:szCs w:val="24"/>
        </w:rPr>
        <w:t xml:space="preserve"> Neglected Tropical Diseases. </w:t>
      </w:r>
      <w:r w:rsidR="00FD06FC" w:rsidRPr="000A03F1">
        <w:rPr>
          <w:rFonts w:ascii="Times New Roman" w:hAnsi="Times New Roman" w:cs="Times New Roman"/>
          <w:bCs/>
          <w:sz w:val="24"/>
          <w:szCs w:val="24"/>
        </w:rPr>
        <w:t xml:space="preserve">This work is in line with the journal’s scope to publish research focused on NTDs, aiming to enhance the health and prosperity of all the world’s people. </w:t>
      </w:r>
      <w:r>
        <w:rPr>
          <w:rFonts w:ascii="Times New Roman" w:hAnsi="Times New Roman" w:cs="Times New Roman"/>
          <w:bCs/>
          <w:sz w:val="24"/>
          <w:szCs w:val="24"/>
        </w:rPr>
        <w:t>Thus</w:t>
      </w:r>
      <w:r w:rsidR="00FD06FC" w:rsidRPr="000A03F1">
        <w:rPr>
          <w:rFonts w:ascii="Times New Roman" w:hAnsi="Times New Roman" w:cs="Times New Roman"/>
          <w:bCs/>
          <w:sz w:val="24"/>
          <w:szCs w:val="24"/>
        </w:rPr>
        <w:t xml:space="preserve">, we have formatted this work according to </w:t>
      </w:r>
      <w:proofErr w:type="spellStart"/>
      <w:r w:rsidR="00FD06FC" w:rsidRPr="000A03F1">
        <w:rPr>
          <w:rFonts w:ascii="Times New Roman" w:hAnsi="Times New Roman" w:cs="Times New Roman"/>
          <w:bCs/>
          <w:sz w:val="24"/>
          <w:szCs w:val="24"/>
        </w:rPr>
        <w:t>PLoS</w:t>
      </w:r>
      <w:proofErr w:type="spellEnd"/>
      <w:r w:rsidR="00FD06FC" w:rsidRPr="000A03F1">
        <w:rPr>
          <w:rFonts w:ascii="Times New Roman" w:hAnsi="Times New Roman" w:cs="Times New Roman"/>
          <w:bCs/>
          <w:sz w:val="24"/>
          <w:szCs w:val="24"/>
        </w:rPr>
        <w:t xml:space="preserve"> Neglected Tropical </w:t>
      </w:r>
      <w:proofErr w:type="spellStart"/>
      <w:r w:rsidR="00FD06FC" w:rsidRPr="000A03F1">
        <w:rPr>
          <w:rFonts w:ascii="Times New Roman" w:hAnsi="Times New Roman" w:cs="Times New Roman"/>
          <w:bCs/>
          <w:sz w:val="24"/>
          <w:szCs w:val="24"/>
        </w:rPr>
        <w:t>Diseases’s</w:t>
      </w:r>
      <w:proofErr w:type="spellEnd"/>
      <w:r w:rsidR="00FD06FC" w:rsidRPr="000A03F1">
        <w:rPr>
          <w:rFonts w:ascii="Times New Roman" w:hAnsi="Times New Roman" w:cs="Times New Roman"/>
          <w:bCs/>
          <w:sz w:val="24"/>
          <w:szCs w:val="24"/>
        </w:rPr>
        <w:t xml:space="preserve"> formatting guidelines. </w:t>
      </w:r>
    </w:p>
    <w:p w14:paraId="2499D65C" w14:textId="77777777" w:rsidR="00CE5A47" w:rsidRPr="000A03F1" w:rsidRDefault="00CE5A47" w:rsidP="00D55FCF">
      <w:pPr>
        <w:pStyle w:val="Heading1"/>
        <w:rPr>
          <w:rFonts w:ascii="Times New Roman" w:hAnsi="Times New Roman" w:cs="Times New Roman"/>
          <w:b w:val="0"/>
        </w:rPr>
      </w:pPr>
      <w:r w:rsidRPr="000A03F1">
        <w:rPr>
          <w:rFonts w:ascii="Times New Roman" w:hAnsi="Times New Roman" w:cs="Times New Roman"/>
        </w:rPr>
        <w:lastRenderedPageBreak/>
        <w:t>Abstract</w:t>
      </w:r>
    </w:p>
    <w:p w14:paraId="74314B51" w14:textId="3166549C" w:rsidR="00B42FC3" w:rsidRPr="000A03F1" w:rsidRDefault="00B42FC3" w:rsidP="00741A05">
      <w:pPr>
        <w:spacing w:after="160" w:line="480" w:lineRule="auto"/>
        <w:contextualSpacing/>
        <w:jc w:val="both"/>
        <w:rPr>
          <w:rFonts w:ascii="Times New Roman" w:hAnsi="Times New Roman" w:cs="Times New Roman"/>
          <w:bCs/>
          <w:sz w:val="24"/>
          <w:szCs w:val="24"/>
        </w:rPr>
      </w:pPr>
      <w:r w:rsidRPr="000A03F1">
        <w:rPr>
          <w:rFonts w:ascii="Times New Roman" w:hAnsi="Times New Roman" w:cs="Times New Roman"/>
          <w:b/>
          <w:sz w:val="24"/>
          <w:szCs w:val="24"/>
        </w:rPr>
        <w:t xml:space="preserve">Introduction: </w:t>
      </w:r>
      <w:r w:rsidR="00E90499" w:rsidRPr="000A03F1">
        <w:rPr>
          <w:rFonts w:ascii="Times New Roman" w:hAnsi="Times New Roman" w:cs="Times New Roman"/>
          <w:bCs/>
          <w:sz w:val="24"/>
          <w:szCs w:val="24"/>
        </w:rPr>
        <w:t xml:space="preserve">Indonesia has recommended </w:t>
      </w:r>
      <w:r w:rsidRPr="000A03F1">
        <w:rPr>
          <w:rFonts w:ascii="Times New Roman" w:hAnsi="Times New Roman" w:cs="Times New Roman"/>
          <w:bCs/>
          <w:sz w:val="24"/>
          <w:szCs w:val="24"/>
        </w:rPr>
        <w:t xml:space="preserve">screening prior to </w:t>
      </w:r>
      <w:proofErr w:type="spellStart"/>
      <w:r w:rsidRPr="000A03F1">
        <w:rPr>
          <w:rFonts w:ascii="Times New Roman" w:hAnsi="Times New Roman" w:cs="Times New Roman"/>
          <w:bCs/>
          <w:sz w:val="24"/>
          <w:szCs w:val="24"/>
        </w:rPr>
        <w:t>Dengvaxia</w:t>
      </w:r>
      <w:proofErr w:type="spellEnd"/>
      <w:r w:rsidRPr="000A03F1">
        <w:rPr>
          <w:rFonts w:ascii="Times New Roman" w:hAnsi="Times New Roman" w:cs="Times New Roman"/>
          <w:bCs/>
          <w:sz w:val="24"/>
          <w:szCs w:val="24"/>
        </w:rPr>
        <w:t xml:space="preserve"> vaccination, </w:t>
      </w:r>
      <w:r w:rsidR="00E90499" w:rsidRPr="000A03F1">
        <w:rPr>
          <w:rFonts w:ascii="Times New Roman" w:hAnsi="Times New Roman" w:cs="Times New Roman"/>
          <w:bCs/>
          <w:sz w:val="24"/>
          <w:szCs w:val="24"/>
        </w:rPr>
        <w:t>in contrast to</w:t>
      </w:r>
      <w:r w:rsidRPr="000A03F1">
        <w:rPr>
          <w:rFonts w:ascii="Times New Roman" w:hAnsi="Times New Roman" w:cs="Times New Roman"/>
          <w:bCs/>
          <w:sz w:val="24"/>
          <w:szCs w:val="24"/>
        </w:rPr>
        <w:t xml:space="preserve"> </w:t>
      </w:r>
      <w:proofErr w:type="spellStart"/>
      <w:r w:rsidRPr="000A03F1">
        <w:rPr>
          <w:rFonts w:ascii="Times New Roman" w:hAnsi="Times New Roman" w:cs="Times New Roman"/>
          <w:bCs/>
          <w:sz w:val="24"/>
          <w:szCs w:val="24"/>
        </w:rPr>
        <w:t>Qdenga</w:t>
      </w:r>
      <w:proofErr w:type="spellEnd"/>
      <w:r w:rsidRPr="000A03F1">
        <w:rPr>
          <w:rFonts w:ascii="Times New Roman" w:hAnsi="Times New Roman" w:cs="Times New Roman"/>
          <w:bCs/>
          <w:sz w:val="24"/>
          <w:szCs w:val="24"/>
        </w:rPr>
        <w:t xml:space="preserve"> </w:t>
      </w:r>
      <w:r w:rsidR="00E90499" w:rsidRPr="000A03F1">
        <w:rPr>
          <w:rFonts w:ascii="Times New Roman" w:hAnsi="Times New Roman" w:cs="Times New Roman"/>
          <w:bCs/>
          <w:sz w:val="24"/>
          <w:szCs w:val="24"/>
        </w:rPr>
        <w:t>vaccination, although there</w:t>
      </w:r>
      <w:r w:rsidR="003F317C" w:rsidRPr="000A03F1">
        <w:rPr>
          <w:rFonts w:ascii="Times New Roman" w:hAnsi="Times New Roman" w:cs="Times New Roman"/>
          <w:bCs/>
          <w:sz w:val="24"/>
          <w:szCs w:val="24"/>
        </w:rPr>
        <w:t xml:space="preserve"> are concerns about a possible rise in hospitali</w:t>
      </w:r>
      <w:r w:rsidR="00227E45" w:rsidRPr="000A03F1">
        <w:rPr>
          <w:rFonts w:ascii="Times New Roman" w:hAnsi="Times New Roman" w:cs="Times New Roman"/>
          <w:bCs/>
          <w:sz w:val="24"/>
          <w:szCs w:val="24"/>
        </w:rPr>
        <w:t>s</w:t>
      </w:r>
      <w:r w:rsidR="003F317C" w:rsidRPr="000A03F1">
        <w:rPr>
          <w:rFonts w:ascii="Times New Roman" w:hAnsi="Times New Roman" w:cs="Times New Roman"/>
          <w:bCs/>
          <w:sz w:val="24"/>
          <w:szCs w:val="24"/>
        </w:rPr>
        <w:t xml:space="preserve">ation risk for </w:t>
      </w:r>
      <w:r w:rsidR="00EA41AE" w:rsidRPr="000A03F1">
        <w:rPr>
          <w:rFonts w:ascii="Times New Roman" w:hAnsi="Times New Roman" w:cs="Times New Roman"/>
          <w:bCs/>
          <w:sz w:val="24"/>
          <w:szCs w:val="24"/>
        </w:rPr>
        <w:t>d</w:t>
      </w:r>
      <w:r w:rsidR="004A2915" w:rsidRPr="000A03F1">
        <w:rPr>
          <w:rFonts w:ascii="Times New Roman" w:hAnsi="Times New Roman" w:cs="Times New Roman"/>
          <w:bCs/>
          <w:sz w:val="24"/>
          <w:szCs w:val="24"/>
        </w:rPr>
        <w:t xml:space="preserve">engue </w:t>
      </w:r>
      <w:r w:rsidR="00EA41AE" w:rsidRPr="000A03F1">
        <w:rPr>
          <w:rFonts w:ascii="Times New Roman" w:hAnsi="Times New Roman" w:cs="Times New Roman"/>
          <w:bCs/>
          <w:sz w:val="24"/>
          <w:szCs w:val="24"/>
        </w:rPr>
        <w:t>h</w:t>
      </w:r>
      <w:r w:rsidR="004A2915" w:rsidRPr="000A03F1">
        <w:rPr>
          <w:rFonts w:ascii="Times New Roman" w:hAnsi="Times New Roman" w:cs="Times New Roman"/>
          <w:bCs/>
          <w:sz w:val="24"/>
          <w:szCs w:val="24"/>
        </w:rPr>
        <w:t xml:space="preserve">aemorrhagic </w:t>
      </w:r>
      <w:r w:rsidR="00EA41AE" w:rsidRPr="000A03F1">
        <w:rPr>
          <w:rFonts w:ascii="Times New Roman" w:hAnsi="Times New Roman" w:cs="Times New Roman"/>
          <w:bCs/>
          <w:sz w:val="24"/>
          <w:szCs w:val="24"/>
        </w:rPr>
        <w:t>f</w:t>
      </w:r>
      <w:r w:rsidR="004A2915" w:rsidRPr="000A03F1">
        <w:rPr>
          <w:rFonts w:ascii="Times New Roman" w:hAnsi="Times New Roman" w:cs="Times New Roman"/>
          <w:bCs/>
          <w:sz w:val="24"/>
          <w:szCs w:val="24"/>
        </w:rPr>
        <w:t>ever (DHF)</w:t>
      </w:r>
      <w:r w:rsidR="003F317C" w:rsidRPr="000A03F1">
        <w:rPr>
          <w:rFonts w:ascii="Times New Roman" w:hAnsi="Times New Roman" w:cs="Times New Roman"/>
          <w:bCs/>
          <w:sz w:val="24"/>
          <w:szCs w:val="24"/>
        </w:rPr>
        <w:t>, especially among young, dengue-naïve individuals</w:t>
      </w:r>
      <w:r w:rsidR="00E90499" w:rsidRPr="000A03F1">
        <w:rPr>
          <w:rFonts w:ascii="Times New Roman" w:hAnsi="Times New Roman" w:cs="Times New Roman"/>
          <w:bCs/>
          <w:sz w:val="24"/>
          <w:szCs w:val="24"/>
        </w:rPr>
        <w:t>.</w:t>
      </w:r>
      <w:r w:rsidRPr="000A03F1">
        <w:rPr>
          <w:rFonts w:ascii="Times New Roman" w:hAnsi="Times New Roman" w:cs="Times New Roman"/>
          <w:bCs/>
          <w:sz w:val="24"/>
          <w:szCs w:val="24"/>
        </w:rPr>
        <w:t xml:space="preserve"> This study was conducted to assess the impact of </w:t>
      </w:r>
      <w:r w:rsidR="00E90499" w:rsidRPr="000A03F1">
        <w:rPr>
          <w:rFonts w:ascii="Times New Roman" w:hAnsi="Times New Roman" w:cs="Times New Roman"/>
          <w:bCs/>
          <w:sz w:val="24"/>
          <w:szCs w:val="24"/>
        </w:rPr>
        <w:t xml:space="preserve">pre-vaccination </w:t>
      </w:r>
      <w:r w:rsidRPr="000A03F1">
        <w:rPr>
          <w:rFonts w:ascii="Times New Roman" w:hAnsi="Times New Roman" w:cs="Times New Roman"/>
          <w:bCs/>
          <w:sz w:val="24"/>
          <w:szCs w:val="24"/>
        </w:rPr>
        <w:t xml:space="preserve">screening in addition to vaccination on </w:t>
      </w:r>
      <w:r w:rsidR="003F317C" w:rsidRPr="000A03F1">
        <w:rPr>
          <w:rFonts w:ascii="Times New Roman" w:hAnsi="Times New Roman" w:cs="Times New Roman"/>
          <w:bCs/>
          <w:sz w:val="24"/>
          <w:szCs w:val="24"/>
        </w:rPr>
        <w:t xml:space="preserve">public health impact as characterised by averted </w:t>
      </w:r>
      <w:r w:rsidR="004A2915" w:rsidRPr="000A03F1">
        <w:rPr>
          <w:rFonts w:ascii="Times New Roman" w:hAnsi="Times New Roman" w:cs="Times New Roman"/>
          <w:bCs/>
          <w:sz w:val="24"/>
          <w:szCs w:val="24"/>
        </w:rPr>
        <w:t>DHF</w:t>
      </w:r>
      <w:r w:rsidR="00684E5E" w:rsidRPr="000A03F1">
        <w:rPr>
          <w:rFonts w:ascii="Times New Roman" w:hAnsi="Times New Roman" w:cs="Times New Roman"/>
          <w:bCs/>
          <w:sz w:val="24"/>
          <w:szCs w:val="24"/>
        </w:rPr>
        <w:t xml:space="preserve"> </w:t>
      </w:r>
      <w:r w:rsidR="003F317C" w:rsidRPr="000A03F1">
        <w:rPr>
          <w:rFonts w:ascii="Times New Roman" w:hAnsi="Times New Roman" w:cs="Times New Roman"/>
          <w:bCs/>
          <w:sz w:val="24"/>
          <w:szCs w:val="24"/>
        </w:rPr>
        <w:t>cases</w:t>
      </w:r>
      <w:r w:rsidRPr="000A03F1">
        <w:rPr>
          <w:rFonts w:ascii="Times New Roman" w:hAnsi="Times New Roman" w:cs="Times New Roman"/>
          <w:bCs/>
          <w:sz w:val="24"/>
          <w:szCs w:val="24"/>
        </w:rPr>
        <w:t>.</w:t>
      </w:r>
    </w:p>
    <w:p w14:paraId="22234F60" w14:textId="792B12BF" w:rsidR="00B42FC3" w:rsidRPr="000A03F1" w:rsidRDefault="00B42FC3" w:rsidP="00741A05">
      <w:pPr>
        <w:spacing w:after="160" w:line="480" w:lineRule="auto"/>
        <w:contextualSpacing/>
        <w:jc w:val="both"/>
        <w:rPr>
          <w:rFonts w:ascii="Times New Roman" w:hAnsi="Times New Roman" w:cs="Times New Roman"/>
          <w:bCs/>
          <w:sz w:val="24"/>
          <w:szCs w:val="24"/>
        </w:rPr>
      </w:pPr>
      <w:r w:rsidRPr="000A03F1">
        <w:rPr>
          <w:rFonts w:ascii="Times New Roman" w:hAnsi="Times New Roman" w:cs="Times New Roman"/>
          <w:b/>
          <w:sz w:val="24"/>
          <w:szCs w:val="24"/>
        </w:rPr>
        <w:t xml:space="preserve">Methods: </w:t>
      </w:r>
      <w:r w:rsidRPr="000A03F1">
        <w:rPr>
          <w:rFonts w:ascii="Times New Roman" w:hAnsi="Times New Roman" w:cs="Times New Roman"/>
          <w:bCs/>
          <w:sz w:val="24"/>
          <w:szCs w:val="24"/>
        </w:rPr>
        <w:t xml:space="preserve">We modified </w:t>
      </w:r>
      <w:r w:rsidR="00E90499" w:rsidRPr="000A03F1">
        <w:rPr>
          <w:rFonts w:ascii="Times New Roman" w:hAnsi="Times New Roman" w:cs="Times New Roman"/>
          <w:bCs/>
          <w:sz w:val="24"/>
          <w:szCs w:val="24"/>
        </w:rPr>
        <w:t xml:space="preserve">the </w:t>
      </w:r>
      <w:r w:rsidRPr="000A03F1">
        <w:rPr>
          <w:rFonts w:ascii="Times New Roman" w:hAnsi="Times New Roman" w:cs="Times New Roman"/>
          <w:bCs/>
          <w:sz w:val="24"/>
          <w:szCs w:val="24"/>
        </w:rPr>
        <w:t xml:space="preserve">Duke model to incorporate vaccination and screening of dengue. The population was divided into two age </w:t>
      </w:r>
      <w:r w:rsidR="00E90499" w:rsidRPr="000A03F1">
        <w:rPr>
          <w:rFonts w:ascii="Times New Roman" w:hAnsi="Times New Roman" w:cs="Times New Roman"/>
          <w:bCs/>
          <w:sz w:val="24"/>
          <w:szCs w:val="24"/>
        </w:rPr>
        <w:t>groups</w:t>
      </w:r>
      <w:r w:rsidRPr="000A03F1">
        <w:rPr>
          <w:rFonts w:ascii="Times New Roman" w:hAnsi="Times New Roman" w:cs="Times New Roman"/>
          <w:bCs/>
          <w:sz w:val="24"/>
          <w:szCs w:val="24"/>
        </w:rPr>
        <w:t xml:space="preserve"> </w:t>
      </w:r>
      <w:r w:rsidR="00E90499" w:rsidRPr="000A03F1">
        <w:rPr>
          <w:rFonts w:ascii="Times New Roman" w:hAnsi="Times New Roman" w:cs="Times New Roman"/>
          <w:bCs/>
          <w:sz w:val="24"/>
          <w:szCs w:val="24"/>
        </w:rPr>
        <w:t>and</w:t>
      </w:r>
      <w:r w:rsidRPr="000A03F1">
        <w:rPr>
          <w:rFonts w:ascii="Times New Roman" w:hAnsi="Times New Roman" w:cs="Times New Roman"/>
          <w:bCs/>
          <w:sz w:val="24"/>
          <w:szCs w:val="24"/>
        </w:rPr>
        <w:t xml:space="preserve"> the younger age group was selected as a target population for dengue vaccination. We implemented </w:t>
      </w:r>
      <w:r w:rsidR="00E90499" w:rsidRPr="000A03F1">
        <w:rPr>
          <w:rFonts w:ascii="Times New Roman" w:hAnsi="Times New Roman" w:cs="Times New Roman"/>
          <w:bCs/>
          <w:sz w:val="24"/>
          <w:szCs w:val="24"/>
        </w:rPr>
        <w:t xml:space="preserve">a </w:t>
      </w:r>
      <w:r w:rsidRPr="000A03F1">
        <w:rPr>
          <w:rFonts w:ascii="Times New Roman" w:hAnsi="Times New Roman" w:cs="Times New Roman"/>
          <w:bCs/>
          <w:sz w:val="24"/>
          <w:szCs w:val="24"/>
        </w:rPr>
        <w:t xml:space="preserve">one-year vaccination campaign and evaluate the DHF cases averted </w:t>
      </w:r>
      <w:r w:rsidR="00707609" w:rsidRPr="000A03F1">
        <w:rPr>
          <w:rFonts w:ascii="Times New Roman" w:hAnsi="Times New Roman" w:cs="Times New Roman"/>
          <w:bCs/>
          <w:sz w:val="24"/>
          <w:szCs w:val="24"/>
        </w:rPr>
        <w:t>3</w:t>
      </w:r>
      <w:r w:rsidRPr="000A03F1">
        <w:rPr>
          <w:rFonts w:ascii="Times New Roman" w:hAnsi="Times New Roman" w:cs="Times New Roman"/>
          <w:bCs/>
          <w:sz w:val="24"/>
          <w:szCs w:val="24"/>
        </w:rPr>
        <w:t xml:space="preserve"> years after the</w:t>
      </w:r>
      <w:r w:rsidR="00707609" w:rsidRPr="000A03F1">
        <w:rPr>
          <w:rFonts w:ascii="Times New Roman" w:hAnsi="Times New Roman" w:cs="Times New Roman"/>
          <w:bCs/>
          <w:sz w:val="24"/>
          <w:szCs w:val="24"/>
        </w:rPr>
        <w:t xml:space="preserve"> start of</w:t>
      </w:r>
      <w:r w:rsidRPr="000A03F1">
        <w:rPr>
          <w:rFonts w:ascii="Times New Roman" w:hAnsi="Times New Roman" w:cs="Times New Roman"/>
          <w:bCs/>
          <w:sz w:val="24"/>
          <w:szCs w:val="24"/>
        </w:rPr>
        <w:t xml:space="preserve"> vaccination campaign. Sensitivity analysis </w:t>
      </w:r>
      <w:r w:rsidR="005B026B" w:rsidRPr="000A03F1">
        <w:rPr>
          <w:rFonts w:ascii="Times New Roman" w:hAnsi="Times New Roman" w:cs="Times New Roman"/>
          <w:bCs/>
          <w:sz w:val="24"/>
          <w:szCs w:val="24"/>
        </w:rPr>
        <w:t>regarding</w:t>
      </w:r>
      <w:r w:rsidRPr="000A03F1">
        <w:rPr>
          <w:rFonts w:ascii="Times New Roman" w:hAnsi="Times New Roman" w:cs="Times New Roman"/>
          <w:bCs/>
          <w:sz w:val="24"/>
          <w:szCs w:val="24"/>
        </w:rPr>
        <w:t xml:space="preserve"> DENV serotype dominance was further carried out.</w:t>
      </w:r>
    </w:p>
    <w:p w14:paraId="3FA8CD8C" w14:textId="626D46C0" w:rsidR="00B42FC3" w:rsidRPr="000A03F1" w:rsidRDefault="00B42FC3" w:rsidP="00741A05">
      <w:pPr>
        <w:spacing w:after="160" w:line="480" w:lineRule="auto"/>
        <w:contextualSpacing/>
        <w:jc w:val="both"/>
        <w:rPr>
          <w:rFonts w:ascii="Times New Roman" w:hAnsi="Times New Roman" w:cs="Times New Roman"/>
          <w:bCs/>
          <w:sz w:val="24"/>
          <w:szCs w:val="24"/>
        </w:rPr>
      </w:pPr>
      <w:r w:rsidRPr="000A03F1">
        <w:rPr>
          <w:rFonts w:ascii="Times New Roman" w:hAnsi="Times New Roman" w:cs="Times New Roman"/>
          <w:b/>
          <w:sz w:val="24"/>
          <w:szCs w:val="24"/>
        </w:rPr>
        <w:t xml:space="preserve">Results: </w:t>
      </w:r>
      <w:r w:rsidRPr="000A03F1">
        <w:rPr>
          <w:rFonts w:ascii="Times New Roman" w:hAnsi="Times New Roman" w:cs="Times New Roman"/>
          <w:bCs/>
          <w:sz w:val="24"/>
          <w:szCs w:val="24"/>
        </w:rPr>
        <w:t xml:space="preserve">Population was </w:t>
      </w:r>
      <w:r w:rsidR="005B026B" w:rsidRPr="000A03F1">
        <w:rPr>
          <w:rFonts w:ascii="Times New Roman" w:hAnsi="Times New Roman" w:cs="Times New Roman"/>
          <w:bCs/>
          <w:sz w:val="24"/>
          <w:szCs w:val="24"/>
        </w:rPr>
        <w:t>subdivided</w:t>
      </w:r>
      <w:r w:rsidRPr="000A03F1">
        <w:rPr>
          <w:rFonts w:ascii="Times New Roman" w:hAnsi="Times New Roman" w:cs="Times New Roman"/>
          <w:bCs/>
          <w:sz w:val="24"/>
          <w:szCs w:val="24"/>
        </w:rPr>
        <w:t xml:space="preserve"> into </w:t>
      </w:r>
      <w:r w:rsidR="005B026B" w:rsidRPr="000A03F1">
        <w:rPr>
          <w:rFonts w:ascii="Times New Roman" w:hAnsi="Times New Roman" w:cs="Times New Roman"/>
          <w:bCs/>
          <w:sz w:val="24"/>
          <w:szCs w:val="24"/>
        </w:rPr>
        <w:t xml:space="preserve">age groups </w:t>
      </w:r>
      <w:r w:rsidRPr="000A03F1">
        <w:rPr>
          <w:rFonts w:ascii="Times New Roman" w:hAnsi="Times New Roman" w:cs="Times New Roman"/>
          <w:bCs/>
          <w:sz w:val="24"/>
          <w:szCs w:val="24"/>
        </w:rPr>
        <w:t>0-14 and 15</w:t>
      </w:r>
      <w:r w:rsidR="00016B1E" w:rsidRPr="000A03F1">
        <w:rPr>
          <w:rFonts w:ascii="Times New Roman" w:hAnsi="Times New Roman" w:cs="Times New Roman"/>
          <w:bCs/>
          <w:sz w:val="24"/>
          <w:szCs w:val="24"/>
        </w:rPr>
        <w:t>-75</w:t>
      </w:r>
      <w:r w:rsidRPr="000A03F1">
        <w:rPr>
          <w:rFonts w:ascii="Times New Roman" w:hAnsi="Times New Roman" w:cs="Times New Roman"/>
          <w:bCs/>
          <w:sz w:val="24"/>
          <w:szCs w:val="24"/>
        </w:rPr>
        <w:t>+ years old.</w:t>
      </w:r>
      <w:r w:rsidR="005B026B" w:rsidRPr="000A03F1">
        <w:rPr>
          <w:rFonts w:ascii="Times New Roman" w:hAnsi="Times New Roman" w:cs="Times New Roman"/>
          <w:bCs/>
          <w:sz w:val="24"/>
          <w:szCs w:val="24"/>
        </w:rPr>
        <w:t xml:space="preserve"> </w:t>
      </w:r>
      <w:r w:rsidR="00724586" w:rsidRPr="000A03F1">
        <w:rPr>
          <w:rFonts w:ascii="Times New Roman" w:hAnsi="Times New Roman" w:cs="Times New Roman"/>
          <w:bCs/>
          <w:sz w:val="24"/>
          <w:szCs w:val="24"/>
        </w:rPr>
        <w:t>With</w:t>
      </w:r>
      <w:r w:rsidR="005B026B" w:rsidRPr="000A03F1">
        <w:rPr>
          <w:rFonts w:ascii="Times New Roman" w:hAnsi="Times New Roman" w:cs="Times New Roman"/>
          <w:bCs/>
          <w:sz w:val="24"/>
          <w:szCs w:val="24"/>
        </w:rPr>
        <w:t xml:space="preserve"> the vaccine seroprevalence </w:t>
      </w:r>
      <w:r w:rsidR="00724586" w:rsidRPr="000A03F1">
        <w:rPr>
          <w:rFonts w:ascii="Times New Roman" w:hAnsi="Times New Roman" w:cs="Times New Roman"/>
          <w:bCs/>
          <w:sz w:val="24"/>
          <w:szCs w:val="24"/>
        </w:rPr>
        <w:t>of</w:t>
      </w:r>
      <w:r w:rsidR="005B026B" w:rsidRPr="000A03F1">
        <w:rPr>
          <w:rFonts w:ascii="Times New Roman" w:hAnsi="Times New Roman" w:cs="Times New Roman"/>
          <w:bCs/>
          <w:sz w:val="24"/>
          <w:szCs w:val="24"/>
        </w:rPr>
        <w:t xml:space="preserve"> </w:t>
      </w:r>
      <w:r w:rsidR="00703AB7" w:rsidRPr="000A03F1">
        <w:rPr>
          <w:rFonts w:ascii="Times New Roman" w:hAnsi="Times New Roman" w:cs="Times New Roman"/>
          <w:bCs/>
          <w:sz w:val="24"/>
          <w:szCs w:val="24"/>
        </w:rPr>
        <w:t xml:space="preserve">70% and the vaccination coverage </w:t>
      </w:r>
      <w:r w:rsidR="00724586" w:rsidRPr="000A03F1">
        <w:rPr>
          <w:rFonts w:ascii="Times New Roman" w:hAnsi="Times New Roman" w:cs="Times New Roman"/>
          <w:bCs/>
          <w:sz w:val="24"/>
          <w:szCs w:val="24"/>
        </w:rPr>
        <w:t>of</w:t>
      </w:r>
      <w:r w:rsidR="00703AB7" w:rsidRPr="000A03F1">
        <w:rPr>
          <w:rFonts w:ascii="Times New Roman" w:hAnsi="Times New Roman" w:cs="Times New Roman"/>
          <w:bCs/>
          <w:sz w:val="24"/>
          <w:szCs w:val="24"/>
        </w:rPr>
        <w:t xml:space="preserve"> 62%</w:t>
      </w:r>
      <w:r w:rsidR="0085792A" w:rsidRPr="000A03F1">
        <w:rPr>
          <w:rFonts w:ascii="Times New Roman" w:hAnsi="Times New Roman" w:cs="Times New Roman"/>
          <w:bCs/>
          <w:sz w:val="24"/>
          <w:szCs w:val="24"/>
        </w:rPr>
        <w:t>, t</w:t>
      </w:r>
      <w:r w:rsidR="00D57A75" w:rsidRPr="000A03F1">
        <w:rPr>
          <w:rFonts w:ascii="Times New Roman" w:hAnsi="Times New Roman" w:cs="Times New Roman"/>
          <w:bCs/>
          <w:sz w:val="24"/>
          <w:szCs w:val="24"/>
        </w:rPr>
        <w:t xml:space="preserve">he overall vaccination scenario suggests that pre-vaccination screen may be able to improve the number of </w:t>
      </w:r>
      <w:r w:rsidR="007E1073" w:rsidRPr="000A03F1">
        <w:rPr>
          <w:rFonts w:ascii="Times New Roman" w:hAnsi="Times New Roman" w:cs="Times New Roman"/>
          <w:bCs/>
          <w:sz w:val="24"/>
          <w:szCs w:val="24"/>
        </w:rPr>
        <w:t xml:space="preserve">total </w:t>
      </w:r>
      <w:r w:rsidR="00D57A75" w:rsidRPr="000A03F1">
        <w:rPr>
          <w:rFonts w:ascii="Times New Roman" w:hAnsi="Times New Roman" w:cs="Times New Roman"/>
          <w:bCs/>
          <w:sz w:val="24"/>
          <w:szCs w:val="24"/>
        </w:rPr>
        <w:t>DHF cases averted 3 years after the starting vaccination campaign.</w:t>
      </w:r>
      <w:r w:rsidR="00F14E61" w:rsidRPr="000A03F1">
        <w:rPr>
          <w:rFonts w:ascii="Times New Roman" w:hAnsi="Times New Roman" w:cs="Times New Roman"/>
          <w:bCs/>
          <w:sz w:val="24"/>
          <w:szCs w:val="24"/>
        </w:rPr>
        <w:t xml:space="preserve"> We estimated that </w:t>
      </w:r>
      <w:r w:rsidR="00707609" w:rsidRPr="000A03F1">
        <w:rPr>
          <w:rFonts w:ascii="Times New Roman" w:hAnsi="Times New Roman" w:cs="Times New Roman"/>
          <w:bCs/>
          <w:sz w:val="24"/>
          <w:szCs w:val="24"/>
        </w:rPr>
        <w:t xml:space="preserve">only </w:t>
      </w:r>
      <w:r w:rsidR="00F14E61" w:rsidRPr="000A03F1">
        <w:rPr>
          <w:rFonts w:ascii="Times New Roman" w:hAnsi="Times New Roman" w:cs="Times New Roman"/>
          <w:bCs/>
          <w:sz w:val="24"/>
          <w:szCs w:val="24"/>
        </w:rPr>
        <w:t xml:space="preserve">utilising </w:t>
      </w:r>
      <w:proofErr w:type="spellStart"/>
      <w:r w:rsidR="00F14E61" w:rsidRPr="000A03F1">
        <w:rPr>
          <w:rFonts w:ascii="Times New Roman" w:hAnsi="Times New Roman" w:cs="Times New Roman"/>
          <w:bCs/>
          <w:sz w:val="24"/>
          <w:szCs w:val="24"/>
        </w:rPr>
        <w:t>Dengvaxia</w:t>
      </w:r>
      <w:proofErr w:type="spellEnd"/>
      <w:r w:rsidR="00F14E61" w:rsidRPr="000A03F1">
        <w:rPr>
          <w:rFonts w:ascii="Times New Roman" w:hAnsi="Times New Roman" w:cs="Times New Roman"/>
          <w:bCs/>
          <w:sz w:val="24"/>
          <w:szCs w:val="24"/>
        </w:rPr>
        <w:t xml:space="preserve"> vaccination may be able to reduce 66% of cases compared to baseline. Implementing pre-vaccination screening can </w:t>
      </w:r>
      <w:r w:rsidR="00AF34BA" w:rsidRPr="000A03F1">
        <w:rPr>
          <w:rFonts w:ascii="Times New Roman" w:hAnsi="Times New Roman" w:cs="Times New Roman"/>
          <w:bCs/>
          <w:sz w:val="24"/>
          <w:szCs w:val="24"/>
        </w:rPr>
        <w:t>improve</w:t>
      </w:r>
      <w:r w:rsidR="00F14E61" w:rsidRPr="000A03F1">
        <w:rPr>
          <w:rFonts w:ascii="Times New Roman" w:hAnsi="Times New Roman" w:cs="Times New Roman"/>
          <w:bCs/>
          <w:sz w:val="24"/>
          <w:szCs w:val="24"/>
        </w:rPr>
        <w:t xml:space="preserve"> the </w:t>
      </w:r>
      <w:r w:rsidR="00D23189" w:rsidRPr="000A03F1">
        <w:rPr>
          <w:rFonts w:ascii="Times New Roman" w:hAnsi="Times New Roman" w:cs="Times New Roman"/>
          <w:bCs/>
          <w:sz w:val="24"/>
          <w:szCs w:val="24"/>
        </w:rPr>
        <w:t>DHF cases averted from</w:t>
      </w:r>
      <w:r w:rsidR="00F14E61" w:rsidRPr="000A03F1">
        <w:rPr>
          <w:rFonts w:ascii="Times New Roman" w:hAnsi="Times New Roman" w:cs="Times New Roman"/>
          <w:bCs/>
          <w:sz w:val="24"/>
          <w:szCs w:val="24"/>
        </w:rPr>
        <w:t xml:space="preserve"> 3</w:t>
      </w:r>
      <w:r w:rsidR="00985E99">
        <w:rPr>
          <w:rFonts w:ascii="Times New Roman" w:hAnsi="Times New Roman" w:cs="Times New Roman"/>
          <w:bCs/>
          <w:sz w:val="24"/>
          <w:szCs w:val="24"/>
        </w:rPr>
        <w:t>0</w:t>
      </w:r>
      <w:r w:rsidR="00F14E61" w:rsidRPr="000A03F1">
        <w:rPr>
          <w:rFonts w:ascii="Times New Roman" w:hAnsi="Times New Roman" w:cs="Times New Roman"/>
          <w:bCs/>
          <w:sz w:val="24"/>
          <w:szCs w:val="24"/>
        </w:rPr>
        <w:t>% to 4</w:t>
      </w:r>
      <w:r w:rsidR="00D6487E">
        <w:rPr>
          <w:rFonts w:ascii="Times New Roman" w:hAnsi="Times New Roman" w:cs="Times New Roman"/>
          <w:bCs/>
          <w:sz w:val="24"/>
          <w:szCs w:val="24"/>
        </w:rPr>
        <w:t>7</w:t>
      </w:r>
      <w:r w:rsidR="00F14E61" w:rsidRPr="000A03F1">
        <w:rPr>
          <w:rFonts w:ascii="Times New Roman" w:hAnsi="Times New Roman" w:cs="Times New Roman"/>
          <w:bCs/>
          <w:sz w:val="24"/>
          <w:szCs w:val="24"/>
        </w:rPr>
        <w:t xml:space="preserve">% for </w:t>
      </w:r>
      <w:proofErr w:type="spellStart"/>
      <w:r w:rsidR="00F14E61" w:rsidRPr="000A03F1">
        <w:rPr>
          <w:rFonts w:ascii="Times New Roman" w:hAnsi="Times New Roman" w:cs="Times New Roman"/>
          <w:bCs/>
          <w:sz w:val="24"/>
          <w:szCs w:val="24"/>
        </w:rPr>
        <w:t>Qdenga</w:t>
      </w:r>
      <w:proofErr w:type="spellEnd"/>
      <w:r w:rsidR="00F14E61" w:rsidRPr="000A03F1">
        <w:rPr>
          <w:rFonts w:ascii="Times New Roman" w:hAnsi="Times New Roman" w:cs="Times New Roman"/>
          <w:bCs/>
          <w:sz w:val="24"/>
          <w:szCs w:val="24"/>
        </w:rPr>
        <w:t xml:space="preserve"> vaccination.</w:t>
      </w:r>
      <w:r w:rsidR="00D23189" w:rsidRPr="000A03F1">
        <w:rPr>
          <w:rFonts w:ascii="Times New Roman" w:hAnsi="Times New Roman" w:cs="Times New Roman"/>
          <w:bCs/>
          <w:sz w:val="24"/>
          <w:szCs w:val="24"/>
        </w:rPr>
        <w:t xml:space="preserve"> While in scenario where both </w:t>
      </w:r>
      <w:proofErr w:type="spellStart"/>
      <w:r w:rsidR="00D23189" w:rsidRPr="000A03F1">
        <w:rPr>
          <w:rFonts w:ascii="Times New Roman" w:hAnsi="Times New Roman" w:cs="Times New Roman"/>
          <w:bCs/>
          <w:sz w:val="24"/>
          <w:szCs w:val="24"/>
        </w:rPr>
        <w:t>Dengvaxia</w:t>
      </w:r>
      <w:proofErr w:type="spellEnd"/>
      <w:r w:rsidR="00D23189" w:rsidRPr="000A03F1">
        <w:rPr>
          <w:rFonts w:ascii="Times New Roman" w:hAnsi="Times New Roman" w:cs="Times New Roman"/>
          <w:bCs/>
          <w:sz w:val="24"/>
          <w:szCs w:val="24"/>
        </w:rPr>
        <w:t xml:space="preserve"> and </w:t>
      </w:r>
      <w:proofErr w:type="spellStart"/>
      <w:r w:rsidR="00D23189" w:rsidRPr="000A03F1">
        <w:rPr>
          <w:rFonts w:ascii="Times New Roman" w:hAnsi="Times New Roman" w:cs="Times New Roman"/>
          <w:bCs/>
          <w:sz w:val="24"/>
          <w:szCs w:val="24"/>
        </w:rPr>
        <w:t>Qdenga</w:t>
      </w:r>
      <w:proofErr w:type="spellEnd"/>
      <w:r w:rsidR="00D23189" w:rsidRPr="000A03F1">
        <w:rPr>
          <w:rFonts w:ascii="Times New Roman" w:hAnsi="Times New Roman" w:cs="Times New Roman"/>
          <w:bCs/>
          <w:sz w:val="24"/>
          <w:szCs w:val="24"/>
        </w:rPr>
        <w:t xml:space="preserve"> were utilised</w:t>
      </w:r>
      <w:r w:rsidR="009C5FFA" w:rsidRPr="000A03F1">
        <w:rPr>
          <w:rFonts w:ascii="Times New Roman" w:hAnsi="Times New Roman" w:cs="Times New Roman"/>
          <w:bCs/>
          <w:sz w:val="24"/>
          <w:szCs w:val="24"/>
        </w:rPr>
        <w:t xml:space="preserve"> in a population</w:t>
      </w:r>
      <w:r w:rsidR="00707609" w:rsidRPr="000A03F1">
        <w:rPr>
          <w:rFonts w:ascii="Times New Roman" w:hAnsi="Times New Roman" w:cs="Times New Roman"/>
          <w:bCs/>
          <w:sz w:val="24"/>
          <w:szCs w:val="24"/>
        </w:rPr>
        <w:t xml:space="preserve"> with 50:50 ratio</w:t>
      </w:r>
      <w:r w:rsidR="00D23189" w:rsidRPr="000A03F1">
        <w:rPr>
          <w:rFonts w:ascii="Times New Roman" w:hAnsi="Times New Roman" w:cs="Times New Roman"/>
          <w:bCs/>
          <w:sz w:val="24"/>
          <w:szCs w:val="24"/>
        </w:rPr>
        <w:t xml:space="preserve">, pre-vaccination screening prior receiving either vaccine resulted in a 63% reduction in DHF cases, compared to the 40% reduction </w:t>
      </w:r>
      <w:r w:rsidR="004A4577" w:rsidRPr="000A03F1">
        <w:rPr>
          <w:rFonts w:ascii="Times New Roman" w:hAnsi="Times New Roman" w:cs="Times New Roman"/>
          <w:bCs/>
          <w:sz w:val="24"/>
          <w:szCs w:val="24"/>
        </w:rPr>
        <w:t>resulted</w:t>
      </w:r>
      <w:r w:rsidR="00801522" w:rsidRPr="000A03F1">
        <w:rPr>
          <w:rFonts w:ascii="Times New Roman" w:hAnsi="Times New Roman" w:cs="Times New Roman"/>
          <w:bCs/>
          <w:sz w:val="24"/>
          <w:szCs w:val="24"/>
        </w:rPr>
        <w:t xml:space="preserve"> from</w:t>
      </w:r>
      <w:r w:rsidR="00D23189" w:rsidRPr="000A03F1">
        <w:rPr>
          <w:rFonts w:ascii="Times New Roman" w:hAnsi="Times New Roman" w:cs="Times New Roman"/>
          <w:bCs/>
          <w:sz w:val="24"/>
          <w:szCs w:val="24"/>
        </w:rPr>
        <w:t xml:space="preserve"> </w:t>
      </w:r>
      <w:r w:rsidR="00F71D74" w:rsidRPr="000A03F1">
        <w:rPr>
          <w:rFonts w:ascii="Times New Roman" w:hAnsi="Times New Roman" w:cs="Times New Roman"/>
          <w:bCs/>
          <w:sz w:val="24"/>
          <w:szCs w:val="24"/>
        </w:rPr>
        <w:t>where</w:t>
      </w:r>
      <w:r w:rsidR="00D23189" w:rsidRPr="000A03F1">
        <w:rPr>
          <w:rFonts w:ascii="Times New Roman" w:hAnsi="Times New Roman" w:cs="Times New Roman"/>
          <w:bCs/>
          <w:sz w:val="24"/>
          <w:szCs w:val="24"/>
        </w:rPr>
        <w:t xml:space="preserve"> pre-vaccination screening was only conducted prior to </w:t>
      </w:r>
      <w:proofErr w:type="spellStart"/>
      <w:r w:rsidR="00D23189" w:rsidRPr="000A03F1">
        <w:rPr>
          <w:rFonts w:ascii="Times New Roman" w:hAnsi="Times New Roman" w:cs="Times New Roman"/>
          <w:bCs/>
          <w:sz w:val="24"/>
          <w:szCs w:val="24"/>
        </w:rPr>
        <w:t>Dengvaxia</w:t>
      </w:r>
      <w:proofErr w:type="spellEnd"/>
      <w:r w:rsidR="00D23189" w:rsidRPr="000A03F1">
        <w:rPr>
          <w:rFonts w:ascii="Times New Roman" w:hAnsi="Times New Roman" w:cs="Times New Roman"/>
          <w:bCs/>
          <w:sz w:val="24"/>
          <w:szCs w:val="24"/>
        </w:rPr>
        <w:t xml:space="preserve"> vaccination.</w:t>
      </w:r>
    </w:p>
    <w:p w14:paraId="49E24C20" w14:textId="051F6A5C" w:rsidR="00B42FC3" w:rsidRPr="000A03F1" w:rsidRDefault="00B42FC3" w:rsidP="00741A05">
      <w:pPr>
        <w:spacing w:after="160" w:line="480" w:lineRule="auto"/>
        <w:contextualSpacing/>
        <w:jc w:val="both"/>
        <w:rPr>
          <w:rFonts w:ascii="Times New Roman" w:hAnsi="Times New Roman" w:cs="Times New Roman"/>
          <w:bCs/>
          <w:sz w:val="24"/>
          <w:szCs w:val="24"/>
        </w:rPr>
      </w:pPr>
      <w:r w:rsidRPr="000A03F1">
        <w:rPr>
          <w:rFonts w:ascii="Times New Roman" w:hAnsi="Times New Roman" w:cs="Times New Roman"/>
          <w:b/>
          <w:sz w:val="24"/>
          <w:szCs w:val="24"/>
        </w:rPr>
        <w:lastRenderedPageBreak/>
        <w:t xml:space="preserve">Conclusion: </w:t>
      </w:r>
      <w:r w:rsidRPr="000A03F1">
        <w:rPr>
          <w:rFonts w:ascii="Times New Roman" w:hAnsi="Times New Roman" w:cs="Times New Roman"/>
          <w:bCs/>
          <w:sz w:val="24"/>
          <w:szCs w:val="24"/>
        </w:rPr>
        <w:t xml:space="preserve">The DENV serotypes dominance dynamics may influence vaccine </w:t>
      </w:r>
      <w:r w:rsidR="00707609" w:rsidRPr="000A03F1">
        <w:rPr>
          <w:rFonts w:ascii="Times New Roman" w:hAnsi="Times New Roman" w:cs="Times New Roman"/>
          <w:bCs/>
          <w:sz w:val="24"/>
          <w:szCs w:val="24"/>
        </w:rPr>
        <w:t>impact</w:t>
      </w:r>
      <w:r w:rsidRPr="000A03F1">
        <w:rPr>
          <w:rFonts w:ascii="Times New Roman" w:hAnsi="Times New Roman" w:cs="Times New Roman"/>
          <w:bCs/>
          <w:sz w:val="24"/>
          <w:szCs w:val="24"/>
        </w:rPr>
        <w:t xml:space="preserve">. However, pre-vaccination screening before </w:t>
      </w:r>
      <w:proofErr w:type="spellStart"/>
      <w:r w:rsidRPr="000A03F1">
        <w:rPr>
          <w:rFonts w:ascii="Times New Roman" w:hAnsi="Times New Roman" w:cs="Times New Roman"/>
          <w:bCs/>
          <w:sz w:val="24"/>
          <w:szCs w:val="24"/>
        </w:rPr>
        <w:t>Qdenga</w:t>
      </w:r>
      <w:proofErr w:type="spellEnd"/>
      <w:r w:rsidRPr="000A03F1">
        <w:rPr>
          <w:rFonts w:ascii="Times New Roman" w:hAnsi="Times New Roman" w:cs="Times New Roman"/>
          <w:bCs/>
          <w:sz w:val="24"/>
          <w:szCs w:val="24"/>
        </w:rPr>
        <w:t xml:space="preserve"> vaccination has demonstrated that it can </w:t>
      </w:r>
      <w:r w:rsidR="00631989" w:rsidRPr="000A03F1">
        <w:rPr>
          <w:rFonts w:ascii="Times New Roman" w:hAnsi="Times New Roman" w:cs="Times New Roman"/>
          <w:bCs/>
          <w:sz w:val="24"/>
          <w:szCs w:val="24"/>
        </w:rPr>
        <w:t>improve</w:t>
      </w:r>
      <w:r w:rsidRPr="000A03F1">
        <w:rPr>
          <w:rFonts w:ascii="Times New Roman" w:hAnsi="Times New Roman" w:cs="Times New Roman"/>
          <w:bCs/>
          <w:sz w:val="24"/>
          <w:szCs w:val="24"/>
        </w:rPr>
        <w:t xml:space="preserve"> </w:t>
      </w:r>
      <w:r w:rsidR="00736B2B" w:rsidRPr="000A03F1">
        <w:rPr>
          <w:rFonts w:ascii="Times New Roman" w:hAnsi="Times New Roman" w:cs="Times New Roman"/>
          <w:bCs/>
          <w:sz w:val="24"/>
          <w:szCs w:val="24"/>
        </w:rPr>
        <w:t>the public health impact</w:t>
      </w:r>
      <w:r w:rsidR="00127434" w:rsidRPr="000A03F1">
        <w:rPr>
          <w:rFonts w:ascii="Times New Roman" w:hAnsi="Times New Roman" w:cs="Times New Roman"/>
          <w:bCs/>
          <w:sz w:val="24"/>
          <w:szCs w:val="24"/>
        </w:rPr>
        <w:t xml:space="preserve"> as indicated by reduction in </w:t>
      </w:r>
      <w:r w:rsidR="00DF1341" w:rsidRPr="000A03F1">
        <w:rPr>
          <w:rFonts w:ascii="Times New Roman" w:hAnsi="Times New Roman" w:cs="Times New Roman"/>
          <w:bCs/>
          <w:sz w:val="24"/>
          <w:szCs w:val="24"/>
        </w:rPr>
        <w:t>overall</w:t>
      </w:r>
      <w:r w:rsidR="006B702F" w:rsidRPr="000A03F1">
        <w:rPr>
          <w:rFonts w:ascii="Times New Roman" w:hAnsi="Times New Roman" w:cs="Times New Roman"/>
          <w:bCs/>
          <w:sz w:val="24"/>
          <w:szCs w:val="24"/>
        </w:rPr>
        <w:t xml:space="preserve"> </w:t>
      </w:r>
      <w:r w:rsidR="00127434" w:rsidRPr="000A03F1">
        <w:rPr>
          <w:rFonts w:ascii="Times New Roman" w:hAnsi="Times New Roman" w:cs="Times New Roman"/>
          <w:bCs/>
          <w:sz w:val="24"/>
          <w:szCs w:val="24"/>
        </w:rPr>
        <w:t>DHF cases.</w:t>
      </w:r>
    </w:p>
    <w:p w14:paraId="464044E4" w14:textId="6CB63F0D" w:rsidR="00CE5A47" w:rsidRPr="000A03F1" w:rsidRDefault="00B42FC3" w:rsidP="00741A05">
      <w:pPr>
        <w:spacing w:after="160" w:line="480" w:lineRule="auto"/>
        <w:contextualSpacing/>
        <w:jc w:val="both"/>
        <w:rPr>
          <w:rFonts w:ascii="Times New Roman" w:hAnsi="Times New Roman" w:cs="Times New Roman"/>
          <w:bCs/>
          <w:sz w:val="24"/>
          <w:szCs w:val="24"/>
        </w:rPr>
        <w:sectPr w:rsidR="00CE5A47" w:rsidRPr="000A03F1" w:rsidSect="006A3D38">
          <w:pgSz w:w="12240" w:h="15840"/>
          <w:pgMar w:top="1440" w:right="1440" w:bottom="1440" w:left="1440" w:header="720" w:footer="720" w:gutter="0"/>
          <w:lnNumType w:countBy="1" w:restart="continuous"/>
          <w:cols w:space="720"/>
          <w:docGrid w:linePitch="299"/>
        </w:sectPr>
      </w:pPr>
      <w:r w:rsidRPr="000A03F1">
        <w:rPr>
          <w:rFonts w:ascii="Times New Roman" w:hAnsi="Times New Roman" w:cs="Times New Roman"/>
          <w:b/>
          <w:sz w:val="24"/>
          <w:szCs w:val="24"/>
        </w:rPr>
        <w:t xml:space="preserve">Keywords: </w:t>
      </w:r>
      <w:r w:rsidRPr="000A03F1">
        <w:rPr>
          <w:rFonts w:ascii="Times New Roman" w:hAnsi="Times New Roman" w:cs="Times New Roman"/>
          <w:bCs/>
          <w:sz w:val="24"/>
          <w:szCs w:val="24"/>
        </w:rPr>
        <w:t>Dengue, dengue haemorrhagic fever, vaccination, screening, serotypes.</w:t>
      </w:r>
    </w:p>
    <w:p w14:paraId="4BEC9042" w14:textId="317BF4C8" w:rsidR="00CE5A47" w:rsidRPr="000A03F1" w:rsidRDefault="00985189" w:rsidP="00A54D75">
      <w:pPr>
        <w:pStyle w:val="Heading1"/>
        <w:rPr>
          <w:rFonts w:ascii="Times New Roman" w:hAnsi="Times New Roman" w:cs="Times New Roman"/>
          <w:b w:val="0"/>
        </w:rPr>
      </w:pPr>
      <w:r w:rsidRPr="000A03F1">
        <w:rPr>
          <w:rFonts w:ascii="Times New Roman" w:hAnsi="Times New Roman" w:cs="Times New Roman"/>
        </w:rPr>
        <w:lastRenderedPageBreak/>
        <w:t xml:space="preserve">1. Introduction </w:t>
      </w:r>
    </w:p>
    <w:p w14:paraId="4D671B9A" w14:textId="2184BC39" w:rsidR="00CE5A47" w:rsidRPr="000A03F1" w:rsidRDefault="00CE5A47" w:rsidP="003211BF">
      <w:pPr>
        <w:spacing w:after="160"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Dengue infection is caused by dengue virus (DENV), a mosquito-borne virus from the Flaviviridae family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{"citationID":"setKUkAe","properties":{"formattedCitation":"(1)","plainCitation":"(1)","noteIndex":0},"citationItems":[{"id":522,"uris":["http://zotero.org/users/10607232/items/KP36EGMP"],"itemData":{"id":522,"type":"chapter","container-title":"Emerging and Reemerging Viral Pathogens","ISBN":"978-0-12-819400-3","language":"en","note":"DOI: 10.1016/B978-0-12-819400-3.00016-8","page":"281-359","publisher":"Elsevier","source":"DOI.org (Crossref)","title":"Dengue Virus","URL":"https://linkinghub.elsevier.com/retrieve/pii/B9780128194003000168","author":[{"family":"Murugesan","given":"Amudhan"},{"family":"Manoharan","given":"Mythreyee"}],"accessed":{"date-parts":[["2023",8,8]]},"issued":{"date-parts":[["2020"]]}}}],"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 recent WHO classification divided clinical dengue cases into dengue fever and severe dengue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{"citationID":"2l6qluY1","properties":{"formattedCitation":"(2)","plainCitation":"(2)","noteIndex":0},"citationItems":[{"id":524,"uris":["http://zotero.org/users/10607232/items/GG98MXIQ"],"itemData":{"id":524,"type":"book","call-number":"RA644.D4 C66 2011","collection-number":"no. 60","collection-title":"SEARO Technical publication series","edition":"Rev. and expanded. ed","event-place":"New Delhi, India","ISBN":"978-92-9022-394-8","language":"en","note":"OCLC: ocn711042340","number-of-pages":"196","publisher":"World Health Organization Regional Office for South-East Asia","publisher-place":"New Delhi, India","source":"Library of Congress ISBN","title":"Comprehensive guidelines for prevention and control of dengue and dengue haemorrhagic fever","editor":[{"family":"World Health Organization","given":""}],"issued":{"date-parts":[["2011"]]}}}],"schema":"https://github.com/citation-style-language/schema/raw/master/csl-citation.json"}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(2)</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Despite being mostly an asymptomatic or mild disease, it was estimated that 390 (284 to 528) million symptomatic dengue infections occurred each year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5fwkr30K","properties":{"formattedCitation":"(3)","plainCitation":"(3)","noteIndex":0},"citationItems":[{"id":28,"uris":["http://zotero.org/users/10607232/items/N32E827V"],"itemData":{"id":28,"type":"article-journal","container-title":"Nature","DOI":"10.1038/nature12060","ISSN":"0028-0836, 1476-4687","issue":"7446","journalAbbreviation":"Nature","language":"en","page":"504-507","source":"DOI.org (Crossref)","title":"The global distribution and burden of dengue","volume":"496","author":[{"family":"Bhatt","given":"Samir"},{"family":"Gething","given":"Peter W."},{"family":"Brady","given":"Oliver J."},{"family":"Messina","given":"Jane P."},{"family":"Farlow","given":"Andrew W."},{"family":"Moyes","given":"Catherine L."},{"family":"Drake","given":"John M."},{"family":"Brownstein","given":"John S."},{"family":"Hoen","given":"Anne G."},{"family":"Sankoh","given":"Osman"},{"family":"Myers","given":"Monica F."},{"family":"George","given":"Dylan B."},{"family":"Jaenisch","given":"Thomas"},{"family":"Wint","given":"G. R. William"},{"family":"Simmons","given":"Cameron P."},{"family":"Scott","given":"Thomas W."},{"family":"Farrar","given":"Jeremy J."},{"family":"Hay","given":"Simon I."}],"issued":{"date-parts":[["2013",4]]}}}],"schema":"https://github.com/citation-style-language/schema/raw/master/csl-citation.json"}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Meanwhile, a modelling study demonstrated that there are 7.7 (1.8 to 17.7) million cases of dengue in Indonesia each year, of which 1.1 (0.2 to 2.9) million require hospitalisation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{"citationID":"n0pFxUXd","properties":{"formattedCitation":"(4)","plainCitation":"(4)","noteIndex":0},"citationItems":[{"id":30,"uris":["http://zotero.org/users/10607232/items/GHG7BQ9M"],"itemData":{"id":30,"type":"article-journal","abstract":"Abstract\n            \n              Background\n              \n                Wolbachia\n                -infected mosquitoes reduce dengue virus transmission, and city-wide releases in Yogyakarta city, Indonesia, are showing promising entomological results. Accurate estimates of the burden of dengue, its spatial distribution and the potential impact of\n                Wolbachia\n                are critical in guiding funder and government decisions on its future wider use.\n              \n            \n            \n              Methods\n              \n                Here, we combine multiple modelling methods for burden estimation to predict national case burden disaggregated by severity and map the distribution of burden across the country using three separate data sources. An ensemble of transmission models then predicts the estimated reduction in dengue transmission following a nationwide roll-out of wMel\n                Wolbachia\n                .\n              \n            \n            \n              Results\n              \n                We estimate that 7.8 million (95% uncertainty interval [UI] 1.8–17.7 million) symptomatic dengue cases occurred in Indonesia in 2015 and were associated with 332,865 (UI 94,175–754,203) lost disability-adjusted life years (DALYs). The majority of dengue’s burden was due to non-severe cases that did not seek treatment or were challenging to diagnose in outpatient settings leading to substantial underreporting. Estimated burden was highly concentrated in a small number of large cities with 90% of dengue cases occurring in 15.3% of land area. Implementing a nationwide\n                Wolbachia\n                population replacement programme was estimated to avert 86.2% (UI 36.2–99.9%) of cases over a long-term average.\n              \n            \n            \n              Conclusions\n              \n                These results suggest interventions targeted to the highest burden cities can have a disproportionate impact on dengue burden. Area-wide interventions, such as\n                Wolbachia\n                , that are deployed based on the area covered could protect people more efficiently than individual-based interventions, such as vaccines, in such dense environments.","container-title":"BMC Medicine","DOI":"10.1186/s12916-019-1396-4","ISSN":"1741-7015","issue":"1","journalAbbreviation":"BMC Med","language":"en","page":"172","source":"DOI.org (Crossref)","title":"Estimating the burden of dengue and the impact of release of wMel Wolbachia-infected mosquitoes in Indonesia: a modelling study","title-short":"Estimating the burden of dengue and the impact of release of wMel Wolbachia-infected mosquitoes in Indonesia","volume":"17","author":[{"family":"O’Reilly","given":"Kathleen M."},{"family":"Hendrickx","given":"Emilie"},{"family":"Kharisma","given":"Dinar D."},{"family":"Wilastonegoro","given":"Nandyan N."},{"family":"Carrington","given":"Lauren B."},{"family":"Elyazar","given":"Iqbal R. F."},{"family":"Kucharski","given":"Adam J."},{"family":"Lowe","given":"Rachel"},{"family":"Flasche","given":"Stefan"},{"family":"Pigott","given":"David M."},{"family":"Reiner","given":"Robert C."},{"family":"Edmunds","given":"W. John"},{"family":"Hay","given":"Simon I."},{"family":"Yakob","given":"Laith"},{"family":"Shepard","given":"Donald S."},{"family":"Brady","given":"Oliver J."}],"issued":{"date-parts":[["2019",12]]}}}],"schema":"https://github.com/citation-style-language/schema/raw/master/csl-citation.json"}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(4)</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w:t>
      </w:r>
    </w:p>
    <w:p w14:paraId="079AC4CE" w14:textId="216DE0A4" w:rsidR="00CE5A47" w:rsidRPr="000A03F1" w:rsidRDefault="00CE5A47" w:rsidP="00741A05">
      <w:pPr>
        <w:spacing w:after="160"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Dengue virus has four different serotypes, i.e., DENV-1, DENV-2, DENV-3, and DENV-4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{"citationID":"m6DXKPe5","properties":{"formattedCitation":"(5)","plainCitation":"(5)","noteIndex":0},"citationItems":[{"id":23,"uris":["http://zotero.org/users/10607232/items/IV8BWEYH"],"itemData":{"id":23,"type":"article-journal","container-title":"Nature Reviews Disease Primers","DOI":"10.1038/nrdp.2016.55","ISSN":"2056-676X","issue":"1","journalAbbreviation":"Nat Rev Dis Primers","language":"en","page":"16055","source":"DOI.org (Crossref)","title":"Dengue infection","volume":"2","author":[{"family":"Guzman","given":"Maria G."},{"family":"Gubler","given":"Duane J."},{"family":"Izquierdo","given":"Alienys"},{"family":"Martinez","given":"Eric"},{"family":"Halstead","given":"Scott B."}],"issued":{"date-parts":[["2016",12,22]]}}}],"schema":"https://github.com/citation-style-language/schema/raw/master/csl-citation.json"}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(5)</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Recovery from a certain serotype will provide life-long immunity to that serotype,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{"citationID":"PPQ7oyOz","properties":{"formattedCitation":"(6,7)","plainCitation":"(6,7)","noteIndex":0},"citationItems":[{"id":526,"uris":["http://zotero.org/users/10607232/items/X5CBCRR5"],"itemData":{"id":526,"type":"article-journal","abstract":"We investigated the duration of humoral responses to dengue virus infection in individuals who recalled experiencing dengue fever–like illnesses at the time of the Second World War, when dengue fever epidemics occurred throughout the Pacific and Southeast Asia. In July 1943 dengue fever reappeared in Hawaii following an interval of 31 years. Over the next 12 months a total of 1498 locally transmitted cases were reported, and at least 46 imported cases were identified, most of which were among members of the military returning from the Pacific Theatre of the war. Serum samples collected in 2005, more than 60 years after onset of symptoms, were tested for the presence of denguespecific antibodies using a rapid ELISA test, and by plaque reduction neutralization test. Four of seven samples were positive for dengue-specific IgG and demonstrated neutralization titers Ն160 to dengue 1. We describe the existence of dengue-specific antibodies in the serum of people infected more than 60 years earlier.","container-title":"Viral Immunology","DOI":"10.1089/vim.2007.0050","ISSN":"0882-8245, 1557-8976","issue":"4","journalAbbreviation":"Viral Immunology","language":"en","page":"672-675","source":"DOI.org (Crossref)","title":"Antibody to Dengue 1 Detected More Than 60 Years after Infection","volume":"20","author":[{"family":"Imrie","given":"Allison"},{"family":"Meeks","given":"Janet"},{"family":"Gurary","given":"Alexandra"},{"family":"Sukhbaatar","given":"Munkhzul"},{"family":"Truong","given":"Thang Thua"},{"family":"Cropp","given":"C. Bruce"},{"family":"Effler","given":"Paul"}],"issued":{"date-parts":[["2007",12]]}}},{"id":27,"uris":["http://zotero.org/users/10607232/items/ZB6Y8I4L"],"itemData":{"id":27,"type":"article-journal","container-title":"Biotechnology Advances","DOI":"10.1016/j.biotechadv.2010.11.008","ISSN":"07349750","issue":"2","journalAbbreviation":"Biotechnology Advances","language":"en","page":"239-247","source":"DOI.org (Crossref)","title":"Review of dengue virus and the development of a vaccine","volume":"29","author":[{"family":"Murrell","given":"Sarah"},{"family":"Wu","given":"Suh-Chin"},{"family":"Butler","given":"Michael"}],"issued":{"date-parts":[["2011",3]]}}}],"schema":"https://github.com/citation-style-language/schema/raw/master/csl-citation.json"}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(6,7)</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although there are some reports indicating that homologous immunity is only partial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{"citationID":"38kuPMU8","properties":{"formattedCitation":"(8,9)","plainCitation":"(8,9)","noteIndex":0},"citationItems":[{"id":119,"uris":["http://zotero.org/users/10607232/items/DJZG4VK6"],"itemData":{"id":119,"type":"article-journal","abstract":"Background Nearly half of the world’s population is at risk for dengue, yet no licensed vaccine or antiviral drug is currently available. Dengue is caused by any of four dengue virus serotypes (DENV-1 through DENV-4), and infection by a DENV serotype is assumed to provide lifelong protection against re-infection by that serotype. We investigated the validity of this fundamental assumption during a large dengue epidemic caused by DENV-2 in Iquitos, Peru, in 2010–2011, 15 years after the first outbreak of DENV-2 in the region.","container-title":"PLOS Neglected Tropical Diseases","DOI":"10.1371/journal.pntd.0004398","ISSN":"1935-2735","issue":"2","journalAbbreviation":"PLoS Negl Trop Dis","language":"en","page":"e0004398","source":"DOI.org (Crossref)","title":"Incomplete Protection against Dengue Virus Type 2 Re-infection in Peru","volume":"10","author":[{"family":"Forshey","given":"Brett M."},{"family":"Reiner","given":"Robert C."},{"family":"Olkowski","given":"Sandra"},{"family":"Morrison","given":"Amy C."},{"family":"Espinoza","given":"Angelica"},{"family":"Long","given":"Kanya C."},{"family":"Vilcarromero","given":"Stalin"},{"family":"Casanova","given":"Wilma"},{"family":"Wearing","given":"Helen J."},{"family":"Halsey","given":"Eric S."},{"family":"Kochel","given":"Tadeusz J."},{"family":"Scott","given":"Thomas W."},{"family":"Stoddard","given":"Steven T."}],"editor":[{"family":"Messer","given":"William B"}],"issued":{"date-parts":[["2016",2,5]]}}},{"id":117,"uris":["http://zotero.org/users/10607232/items/H83FMQNN"],"itemData":{"id":117,"type":"article-journal","abstract":"Background. Infection with any of the 4 related dengue virus serotypes (DENV-1–4) is thought to result in lifelong immunity to homotypic reinfection (ie, reinfection with the same serotype).\nMethods. Archived serum samples collected as part of an ongoing pediatric dengue cohort study in Nicaragua were tested for DENV by real-time reverse transcription polymerase chain reaction. Samples were collected from 2892 children who presented with an acute febrile illness clinically attributed to a non-DENV cause (hereafter, “C cases”). Test results were added to a database of previously identiﬁed symptomatic dengue cases in the cohort to identify repeat infections.\nResults. Four patients with homotypic DENV reinfections were identiﬁed and conﬁrmed among 29 repeat DENV infections (13.8%) with serotype conﬁrmation. Homotypic reinfections with DENV-1, DENV-2, and DENV-3 occurred 325–621 days after the initial infection. Each patient experienced 1 symptomatic dengue case and 1 DENV-positive C case, and 2 patients presented with symptomatic dengue during their second infection. These DENV-positive C cases did not elicit long-lived humoral immune responses, despite viremia levels of up to 6.44 log10 copies per mL of serum.\nConclusions. We describe the ﬁrst set of virologically conﬁrmed homotypic DENV reinfections. Such cases challenge the current understanding of DENV immunity and have important implications for modeling DENV transmission.","container-title":"Journal of Infectious Diseases","DOI":"10.1093/infdis/jiw099","ISSN":"0022-1899, 1537-6613","issue":"7","journalAbbreviation":"J Infect Dis.","language":"en","page":"986-993","source":"DOI.org (Crossref)","title":"Homotypic Dengue Virus Reinfections in Nicaraguan Children","volume":"214","author":[{"family":"Waggoner","given":"Jesse J."},{"family":"Balmaseda","given":"Angel"},{"family":"Gresh","given":"Lionel"},{"family":"Sahoo","given":"Malaya K."},{"family":"Montoya","given":"Magelda"},{"family":"Wang","given":"Chunling"},{"family":"Abeynayake","given":"Janaki"},{"family":"Kuan","given":"Guillermina"},{"family":"Pinsky","given":"Benjamin A."},{"family":"Harris","given":"Eva"}],"issued":{"date-parts":[["2016",10,1]]}}}],"schema":"https://github.com/citation-style-language/schema/raw/master/csl-citation.json"}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(8,9)</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and age-dependent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{"citationID":"oDxPT9XJ","properties":{"formattedCitation":"(10,11)","plainCitation":"(10,11)","noteIndex":0},"citationItems":[{"id":123,"uris":["http://zotero.org/users/10607232/items/X3NX2KWP"],"itemData":{"id":123,"type":"article-journal","abstract":"Background: An increase in the average age of dengue hemorrhagic fever (DHF) cases has been reported in Thailand. The cause of this increase is not known. Possible explanations include a reduction in transmission due to declining mosquito populations, declining contact between human and mosquito, and changes in reporting. We propose that a demographic shift toward lower birth and death rates has reduced dengue transmission and lengthened the interval between large epidemics.\nMethods and Findings: Using data from each of the 72 provinces of Thailand, we looked for associations between force of infection (a measure of hazard, defined as the rate per capita at which susceptible individuals become infected) and demographic and climactic variables. We estimated the force of infection from the age distribution of cases from 1985 to 2005. We find that the force of infection has declined by 2% each year since a peak in the late 1970s and early 1980s. Contrary to recent findings suggesting that the incidence of DHF has increased in Thailand, we find a small but statistically significant decline in DHF incidence since 1985 in a majority of provinces. The strongest predictor of the change in force of infection and the mean force of infection is the median age of the population. Using mathematical simulations of dengue transmission we show that a reduced birth rate and a shift in the population’s age structure can explain the shift in the age distribution of cases, reduction of the force of infection, and increase in the periodicity of multiannual oscillations of DHF incidence in the absence of other changes.\nConclusions: Lower birth and death rates decrease the flow of susceptible individuals into the population and increase the longevity of immune individuals. The increase in the proportion of the population that is immune increases the likelihood that an infectious mosquito will feed on an immune individual, reducing the force of infection. Though the force of infection has decreased by half, we find that the critical vaccination fraction has not changed significantly, declining from an average of 85% to 80%. Clinical guidelines should consider the impact of continued increases in the age of dengue cases in Thailand. Countries in the region lagging behind Thailand in the demographic transition may experience the same increase as their population ages. The impact of demographic changes on the force of infection has been hypothesized for other diseases, but, to our knowledge, this is the first observation of this phenomenon.","container-title":"PLoS Medicine","DOI":"10.1371/journal.pmed.1000139","ISSN":"1549-1676","issue":"9","journalAbbreviation":"PLoS Med","language":"en","page":"e1000139","source":"DOI.org (Crossref)","title":"The Impact of the Demographic Transition on Dengue in Thailand: Insights from a Statistical Analysis and Mathematical Modeling","title-short":"The Impact of the Demographic Transition on Dengue in Thailand","volume":"6","author":[{"family":"Cummings","given":"Derek A. T."},{"family":"Iamsirithaworn","given":"Sopon"},{"family":"Lessler","given":"Justin T."},{"family":"McDermott","given":"Aidan"},{"family":"Prasanthong","given":"Rungnapa"},{"family":"Nisalak","given":"Ananda"},{"family":"Jarman","given":"Richard G."},{"family":"Burke","given":"Donald S."},{"family":"Gibbons","given":"Robert V."}],"editor":[{"family":"Farrar","given":"Jeremy"}],"issued":{"date-parts":[["2009",9,1]]}}},{"id":115,"uris":["http://zotero.org/users/10607232/items/YZST4RKM"],"itemData":{"id":115,"type":"article-journal","abstract":"Objective: Dengue hemorrhagic fever/dengue shock syndrome (DHF/DSS) is a growing global health problem. It is not known how age affects the outcome of secondary dengue infections. In an island setting, a large DHF/DSS outbreak in Cuba occurred in 1981. Involved were individuals, 3-40 year old, whose only lifetime dengue exposure was to DEN-l in 1977 and DEN-2 in 1981. In this report we calculate age-specific DHF/DSS hospitalization and death rates based on secondary DEN 2 infections.\nMethods: Published and unpublished hospital and seroepidemiologic data from the 1981 DHF/DSS outbreak were used for the analysis.\nResults: Children, aged 3 and 4 years, with secondary DEN-2 infections were found to have a high death rate (25.400 000 secondary DEN-2 infections).The death rate fell with increasing age, being 15.9-fold lower in the 10-14year age group. The death rate for children aged 3-14 years was 14.5-fold higher than in young adults aged 15-39 years. The death rate rose somewhat in adults aged 50 years and older. DHF/DSS hospitalization rates showed the same trend as death rates.\nConclusions: Age is an important variable in the outcome of secondary DEN-2 infections. DHF/DSS case fatality and hospitalization rates are highest in young infants and the elderly. The risk that a child will die during a secondary DEN-2 infection is nearly 15-fold higher than the risk in adults.","container-title":"International Journal of Infectious Diseases","DOI":"10.1016/S1201-9712(02)90072-X","ISSN":"12019712","issue":"2","journalAbbreviation":"International Journal of Infectious Diseases","language":"en","page":"118-124","source":"DOI.org (Crossref)","title":"Effect of age on outcome of secondary dengue 2 infections","volume":"6","author":[{"family":"Guzmán","given":"María G."},{"family":"Kouri","given":"Gustavo"},{"family":"Bravo","given":"Jose"},{"family":"Valdes","given":"Luis"},{"family":"Susana","given":"Vazquez"},{"family":"Halstead","given":"Scott B."}],"issued":{"date-parts":[["2002",6]]}}}],"schema":"https://github.com/citation-style-language/schema/raw/master/csl-citation.json"}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(10,11)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 primary immune priming can also provide temporary heterologous immunity which wanes over time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{"citationID":"OcBjOAef","properties":{"formattedCitation":"(12,13)","plainCitation":"(12,13)","noteIndex":0},"citationItems":[{"id":528,"uris":["http://zotero.org/users/10607232/items/4E52IFIC"],"itemData":{"id":528,"type":"article-journal","abstract":"Background.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P."}],"issued":{"date-parts":[["2014",2,1]]}}},{"id":530,"uris":["http://zotero.org/users/10607232/items/Y3HWX6NQ"],"itemData":{"id":530,"type":"article-journal","DOI":"https://doi.org/10.4269/ajtmh.1952.1.30","issue":"1","journalAbbreviation":"Am J Trop Med","language":"en","page":"30-50","source":"Zotero","title":"Research on Dengue during World War II","volume":"1","author":[{"family":"Sabin","given":"Albert B."}],"issued":{"date-parts":[["1952",1]]}}}],"schema":"https://github.com/citation-style-language/schema/raw/master/csl-citation.json"}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(12,13)</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 heterologous antibody cross-reaction can be protective or enhance the risk of developing a severe disease due to antibody-dependent enhancement (ADE)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{"citationID":"VzGAfjvT","properties":{"formattedCitation":"(14,15)","plainCitation":"(14,15)","noteIndex":0},"citationItems":[{"id":534,"uris":["http://zotero.org/users/10607232/items/E9VSFYUI"],"itemData":{"id":534,"type":"article-journal","abstract":"Too much or too little—better than some\n            \n              Dengue fever is caused by a mosquito-transmitted flavivirus resembling Zika virus. Both viruses can cause severe diseases in humans with catastrophic sequelae. It has been suspected in humans, and shown in animal models, that the host's immune responses can make disease worse. Katzelnick\n              et al.\n              examined data from a long-term study of Nicaraguan children exposed to dengue virus (see the Perspective by Feinberg and Ahmed). They confirmed that antibody-dependent enhancement of disease occurs at a specific range of antibody concentrations. Low levels of antibody did not enhance disease, intermediate levels exacerbated disease, and high antibody titers protected against severe disease. These findings have major implications for vaccines against flaviviruses. Indeed, recent vaccine trials have shown evidence of severe disease in some recipients who were previously exposed to virus.\n            \n            \n              Science\n              , this issue p.\n              929\n              ; see also p.\n              865\n            \n          , \n            A long-term Nicaraguan pediatric cohort reveals that a narrow range of preexisting antibody titers increases the risk of severe dengue disease.\n          , \n            For dengue viruses 1 to 4 (DENV1-4), a specific range of antibody titer has been shown to enhance viral replication in vitro and severe disease in animal models. Although suspected, such antibody-dependent enhancement of severe disease has not been shown to occur in humans. Using multiple statistical approaches to study a long-term pediatric cohort in Nicaragua, we show that risk of severe dengue disease is highest within a narrow range of preexisting anti-DENV antibody titers. By contrast, we observe protection from all symptomatic dengue disease at high antibody titers. Thus, immune correlates of severe dengue must be evaluated separately from correlates of protection against symptomatic disease. These results have implications for studies of dengue pathogenesis and for vaccine development, because enhancement, not just lack of protection, is of concern.","container-title":"Science","DOI":"10.1126/science.aan6836","ISSN":"0036-8075, 1095-9203","issue":"6365","journalAbbreviation":"Science","language":"en","page":"929-932","source":"DOI.org (Crossref)","title":"Antibody-dependent enhancement of severe dengue disease in humans","volume":"358","author":[{"family":"Katzelnick","given":"Leah C."},{"family":"Gresh","given":"Lionel"},{"family":"Halloran","given":"M. Elizabeth"},{"family":"Mercado","given":"Juan Carlos"},{"family":"Kuan","given":"Guillermina"},{"family":"Gordon","given":"Aubree"},{"family":"Balmaseda","given":"Angel"},{"family":"Harris","given":"Eva"}],"issued":{"date-parts":[["2017",11,17]]}}},{"id":532,"uris":["http://zotero.org/users/10607232/items/MPFIMRU4"],"itemData":{"id":532,"type":"article-journal","abstract":"Dengue is the leading mosquito-b orne viral illness infecting humans. Owing to the circulation of multiple serotypes, global expansion of the disease and recent gains in vaccination coverage, pre-e xisting immunity to dengue virus is abundant in the human population, and secondary dengue infections are common. Here, we contrast the mechanisms initiating and sustaining adaptive immune responses during primary infection with the immune pathways that are pre-e xisting and reactivated during secondary dengue. We also discuss new developments in our understanding of the contributions of CD4+ T cells, CD8+ T cells and antibodies to immunity and memory recall. Memory recall may lead to protective or pathological outcomes, and understanding of these processes will be key to developing or refining dengue vaccines to be safe and effective.","container-title":"Nature Reviews Immunology","DOI":"10.1038/s41577-019-0123-x","ISSN":"1474-1733, 1474-1741","issue":"4","journalAbbreviation":"Nat Rev Immunol","language":"en","page":"218-230","source":"DOI.org (Crossref)","title":"Adaptive immune responses to primary and secondary dengue virus infections","volume":"19","author":[{"family":"St. John","given":"Ashley L."},{"family":"Rathore","given":"Abhay P. S."}],"issued":{"date-parts":[["2019",4]]}},"label":"page"}],"schema":"https://github.com/citation-style-language/schema/raw/master/csl-citation.json"}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(14,15)</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In the event of ADE, the existing antibody titre is suboptimal and does not neutralise the virus, facilitating the entry of viruses into macrophages and exacerbating the immune response against infection. The fate is dependent on the pre-existing antibody levels upon the challenge of the subsequent infection, where the risk of severe disease is the highest within a narrow range of lower antibody titres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{"citationID":"Tv1QUhPt","properties":{"formattedCitation":"(14)","plainCitation":"(14)","noteIndex":0},"citationItems":[{"id":534,"uris":["http://zotero.org/users/10607232/items/E9VSFYUI"],"itemData":{"id":534,"type":"article-journal","abstract":"Too much or too little—better than some\n            \n              Dengue fever is caused by a mosquito-transmitted flavivirus resembling Zika virus. Both viruses can cause severe diseases in humans with catastrophic sequelae. It has been suspected in humans, and shown in animal models, that the host's immune responses can make disease worse. Katzelnick\n              et al.\n              examined data from a long-term study of Nicaraguan children exposed to dengue virus (see the Perspective by Feinberg and Ahmed). They confirmed that antibody-dependent enhancement of disease occurs at a specific range of antibody concentrations. Low levels of antibody did not enhance disease, intermediate levels exacerbated disease, and high antibody titers protected against severe disease. These findings have major implications for vaccines against flaviviruses. Indeed, recent vaccine trials have shown evidence of severe disease in some recipients who were previously exposed to virus.\n            \n            \n              Science\n              , this issue p.\n              929\n              ; see also p.\n              865\n            \n          , \n            A long-term Nicaraguan pediatric cohort reveals that a narrow range of preexisting antibody titers increases the risk of severe dengue disease.\n          , \n            For dengue viruses 1 to 4 (DENV1-4), a specific range of antibody titer has been shown to enhance viral replication in vitro and severe disease in animal models. Although suspected, such antibody-dependent enhancement of severe disease has not been shown to occur in humans. Using multiple statistical approaches to study a long-term pediatric cohort in Nicaragua, we show that risk of severe dengue disease is highest within a narrow range of preexisting anti-DENV antibody titers. By contrast, we observe protection from all symptomatic dengue disease at high antibody titers. Thus, immune correlates of severe dengue must be evaluated separately from correlates of protection against symptomatic disease. These results have implications for studies of dengue pathogenesis and for vaccine development, because enhancement, not just lack of protection, is of concern.","container-title":"Science","DOI":"10.1126/science.aan6836","ISSN":"0036-8075, 1095-9203","issue":"6365","journalAbbreviation":"Science","language":"en","page":"929-932","source":"DOI.org (Crossref)","title":"Antibody-dependent enhancement of severe dengue disease in humans","volume":"358","author":[{"family":"Katzelnick","given":"Leah C."},{"family":"Gresh","given":"Lionel"},{"family":"Halloran","given":"M. Elizabeth"},{"family":"Mercado","given":"Juan Carlos"},{"family":"Kuan","given":"Guillermina"},{"family":"Gordon","given":"Aubree"},{"family":"Balmaseda","given":"Angel"},{"family":"Harris","given":"Eva"}],"issued":{"date-parts":[["2017",11,17]]}}}],"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(14)</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It might also be triggered by antigenic sin, a phenomenon where the immune system produces antibodies from immune memory of the previous infection and had been reported in dengue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{"citationID":"OMV2rqgw","properties":{"formattedCitation":"(16)","plainCitation":"(16)","noteIndex":0},"citationItems":[{"id":536,"uris":["http://zotero.org/users/10607232/items/ABCSPEGL"],"itemData":{"id":536,"type":"article-journal","abstract":"ABSTRACT\n            \n              The evolution of dengue viruses has resulted in four antigenically similar yet distinct serotypes. Infection with one serotype likely elicits lifelong immunity to that serotype, but generally not against the other three. Secondary or sequential infections are common, as multiple viral serotypes frequently cocirculate. Dengue infection, although frequently mild, can lead to dengue hemorrhagic fever (DHF) which can be life threatening. DHF is more common in secondary dengue infections, implying a role for the adaptive immune response in the disease. There is currently much effort toward the design and implementation of a dengue vaccine but these efforts are made more difficult by the challenge of inducing durable neutralizing immunity to all four viruses. Domain 3 of the dengue virus envelope protein (ED3) has been suggested as one such candidate because it contains neutralizing epitopes and it was originally thought that relatively few cross-reactive antibodies are directed to this domain. In this study, we performed a detailed analysis of the anti-ED3 response in a cohort of patients suffering either primary or secondary dengue infections. The results show dramatic evidence of original antigenic sin in secondary infections both in terms of binding and enhancement activity. This has important implications for dengue vaccine design because heterologous boosting is likely to maintain the immunological footprint of the first vaccination. On the basis of these findings, we propose a simple\n              in vitro\n              enzyme-linked immunosorbent assay (ELISA) to diagnose the original dengue infection in secondary dengue cases.","container-title":"Journal of Virology","DOI":"10.1128/JVI.01826-10","ISSN":"0022-538X, 1098-5514","issue":"1","journalAbbreviation":"J Virol","language":"en","page":"410-421","source":"DOI.org (Crossref)","title":"An In-Depth Analysis of Original Antigenic Sin in Dengue Virus Infection","volume":"85","author":[{"family":"Midgley","given":"Claire M."},{"family":"Bajwa-Joseph","given":"Martha"},{"family":"Vasanawathana","given":"Sirijitt"},{"family":"Limpitikul","given":"Wannee"},{"family":"Wills","given":"Bridget"},{"family":"Flanagan","given":"Aleksandra"},{"family":"Waiyaiya","given":"Emily"},{"family":"Tran","given":"Hai Bac"},{"family":"Cowper","given":"Alison E."},{"family":"Chotiyarnwon","given":"Pojchong"},{"family":"Grimes","given":"Jonathan M."},{"family":"Yoksan","given":"Sutee"},{"family":"Malasit","given":"Prida"},{"family":"Simmons","given":"Cameron P."},{"family":"Mongkolsapaya","given":"Juthathip"},{"family":"Screaton","given":"Gavin R."}],"issued":{"date-parts":[["2011",1]]}}}],"schema":"https://github.com/citation-style-language/schema/raw/master/csl-citation.json"}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(16)</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Additionally, a prolonged time between initial and subsequent infections may raise the risk of severe disease, as declining antibodies expose individuals to lower antibody titres, potentially increasing the probability of experiencing ADE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{"citationID":"86oCGOEm","properties":{"formattedCitation":"(12,14,17)","plainCitation":"(12,14,17)","noteIndex":0},"citationItems":[{"id":528,"uris":["http://zotero.org/users/10607232/items/4E52IFIC"],"itemData":{"id":528,"type":"article-journal","abstract":"Background.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P."}],"issued":{"date-parts":[["2014",2,1]]}}},{"id":534,"uris":["http://zotero.org/users/10607232/items/E9VSFYUI"],"itemData":{"id":534,"type":"article-journal","abstract":"Too much or too little—better than some\n            \n              Dengue fever is caused by a mosquito-transmitted flavivirus resembling Zika virus. Both viruses can cause severe diseases in humans with catastrophic sequelae. It has been suspected in humans, and shown in animal models, that the host's immune responses can make disease worse. Katzelnick\n              et al.\n              examined data from a long-term study of Nicaraguan children exposed to dengue virus (see the Perspective by Feinberg and Ahmed). They confirmed that antibody-dependent enhancement of disease occurs at a specific range of antibody concentrations. Low levels of antibody did not enhance disease, intermediate levels exacerbated disease, and high antibody titers protected against severe disease. These findings have major implications for vaccines against flaviviruses. Indeed, recent vaccine trials have shown evidence of severe disease in some recipients who were previously exposed to virus.\n            \n            \n              Science\n              , this issue p.\n              929\n              ; see also p.\n              865\n            \n          , \n            A long-term Nicaraguan pediatric cohort reveals that a narrow range of preexisting antibody titers increases the risk of severe dengue disease.\n          , \n            For dengue viruses 1 to 4 (DENV1-4), a specific range of antibody titer has been shown to enhance viral replication in vitro and severe disease in animal models. Although suspected, such antibody-dependent enhancement of severe disease has not been shown to occur in humans. Using multiple statistical approaches to study a long-term pediatric cohort in Nicaragua, we show that risk of severe dengue disease is highest within a narrow range of preexisting anti-DENV antibody titers. By contrast, we observe protection from all symptomatic dengue disease at high antibody titers. Thus, immune correlates of severe dengue must be evaluated separately from correlates of protection against symptomatic disease. These results have implications for studies of dengue pathogenesis and for vaccine development, because enhancement, not just lack of protection, is of concern.","container-title":"Science","DOI":"10.1126/science.aan6836","ISSN":"0036-8075, 1095-9203","issue":"6365","journalAbbreviation":"Science","language":"en","page":"929-932","source":"DOI.org (Crossref)","title":"Antibody-dependent enhancement of severe dengue disease in humans","volume":"358","author":[{"family":"Katzelnick","given":"Leah C."},{"family":"Gresh","given":"Lionel"},{"family":"Halloran","given":"M. Elizabeth"},{"family":"Mercado","given":"Juan Carlos"},{"family":"Kuan","given":"Guillermina"},{"family":"Gordon","given":"Aubree"},{"family":"Balmaseda","given":"Angel"},{"family":"Harris","given":"Eva"}],"issued":{"date-parts":[["2017",11,17]]}}},{"id":538,"uris":["http://zotero.org/users/10607232/items/8ND68IVI"],"itemData":{"id":538,"type":"article-journal","abstract":"Significance\n            The four dengue virus serotypes (DENV1–4) are the most prevalent arboviruses worldwide and cause outcomes ranging from inapparent infection to severe disease. Neutralizing antibodies are believed to be critical for protection and therefore for dengue vaccines, but the titers required to prevent symptomatic DENV infection have not been well established. Here, we show that higher preinfection neutralizing antibody titers correlate with lower probability of symptomatic infection in children in a longitudinal cohort study in Nicaragua. Further, we find evidence that levels of cross-reactive neutralizing antibodies are maintained over time, possibly due to reexposure. These findings provide insight into the determinants of DENV infection outcome and long-term immunity in an endemic setting and are relevant for dengue vaccine development.\n          , \n            The four dengue virus serotypes (DENV1–4) are mosquito-borne flaviviruses that infect </w:instrText>
      </w:r>
      <w:r w:rsidR="00480550" w:rsidRPr="000A03F1">
        <w:rPr>
          <w:rFonts w:ascii="Cambria Math" w:hAnsi="Cambria Math" w:cs="Cambria Math"/>
          <w:sz w:val="24"/>
          <w:szCs w:val="24"/>
        </w:rPr>
        <w:instrText>∼</w:instrText>
      </w:r>
      <w:r w:rsidR="00480550" w:rsidRPr="000A03F1">
        <w:rPr>
          <w:rFonts w:ascii="Times New Roman" w:hAnsi="Times New Roman" w:cs="Times New Roman"/>
          <w:sz w:val="24"/>
          <w:szCs w:val="24"/>
        </w:rPr>
        <w:instrText xml:space="preserve">390 million people annually; up to 100 million infections are symptomatic, and 500,000 cases progress to severe disease. Exposure to a heterologous DENV serotype, the specific infecting DENV strains, and the interval of time between infections, as well as age, ethnicity, genetic polymorphisms, and comorbidities of the host, are all risk factors for severe dengue. In contrast, neutralizing antibodies (NAbs) are thought to provide long-lived protection against symptomatic infection and severe dengue. The objective of dengue vaccines is to provide balanced protection against all DENV serotypes simultaneously. However, the association between homotypic and heterotypic NAb titers and protection against symptomatic infection remains poorly understood. Here, we demonstrate that the titer of preinfection cross-reactive NAbs correlates with reduced likelihood of symptomatic secondary infection in a longitudinal pediatric dengue cohort in Nicaragua. The protective effect of NAb titers on infection outcome remained significant when controlled for age, number of years between infections, and epidemic force, as well as with relaxed or more stringent criteria for defining inapparent DENV infections. Further, individuals with higher NAb titers immediately after primary infection had delayed symptomatic infections compared with those with lower titers. However, overall NAb titers increased modestly in magnitude and remained serotype cross-reactive in the years between infections, possibly due to reexposure. These findings establish that anti-DENV NAb titers correlate with reduced probability of symptomatic DENV infection and provide insights into longitudinal characteristics of antibody-mediated immunity to DENV in an endemic setting.","container-title":"Proceedings of the National Academy of Sciences","DOI":"10.1073/pnas.1522136113","ISSN":"0027-8424, 1091-6490","issue":"3","journalAbbreviation":"Proc. Natl. Acad. Sci. U.S.A.","language":"en","page":"728-733","source":"DOI.org (Crossref)","title":"Neutralizing antibody titers against dengue virus correlate with protection from symptomatic infection in a longitudinal cohort","volume":"113","author":[{"family":"Katzelnick","given":"Leah C."},{"family":"Montoya","given":"Magelda"},{"family":"Gresh","given":"Lionel"},{"family":"Balmaseda","given":"Angel"},{"family":"Harris","given":"Eva"}],"issued":{"date-parts":[["2016",1,19]]}}}],"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(12,14,17)</w:t>
      </w:r>
      <w:r w:rsidRPr="000A03F1">
        <w:rPr>
          <w:rFonts w:ascii="Times New Roman" w:hAnsi="Times New Roman" w:cs="Times New Roman"/>
          <w:sz w:val="24"/>
          <w:szCs w:val="24"/>
        </w:rPr>
        <w:fldChar w:fldCharType="end"/>
      </w:r>
      <w:r w:rsidR="00631A5B" w:rsidRPr="000A03F1">
        <w:rPr>
          <w:rFonts w:ascii="Times New Roman" w:hAnsi="Times New Roman" w:cs="Times New Roman"/>
          <w:sz w:val="24"/>
          <w:szCs w:val="24"/>
        </w:rPr>
        <w:t>.</w:t>
      </w:r>
    </w:p>
    <w:p w14:paraId="577CCEDA" w14:textId="0394FA89" w:rsidR="00CE5A47" w:rsidRPr="000A03F1" w:rsidRDefault="00CE5A47" w:rsidP="00741A05">
      <w:pPr>
        <w:spacing w:after="160"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lastRenderedPageBreak/>
        <w:t xml:space="preserve">Currently, two vaccines,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and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have been approved in several countries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xcsKcKoB","properties":{"formattedCitation":"(18\\uc0\\u8211{}20)","plainCitation":"(18–20)","noteIndex":0},"citationItems":[{"id":559,"uris":["http://zotero.org/users/10607232/items/EEW7469C"],"itemData":{"id":559,"type":"document","language":"en","publisher":"Takeda","title":"Takeda’s QDENGA®▼ (Dengue Tetravalent Vaccine [Live, Attenuated]) Approved for Use in European Union","URL":"https://www.takeda.com/newsroom/newsreleases/2022/takedas-qdenga-dengue-tetravalent-vaccine-live-attenuated-approved-for-use-in-european-union/","author":[{"family":"Takeda","given":""}],"accessed":{"date-parts":[["2023",8,8]]},"issued":{"date-parts":[["2022",12,8]]}}},{"id":561,"uris":["http://zotero.org/users/10607232/items/KZZEYU4Q"],"itemData":{"id":561,"type":"document","language":"en","publisher":"Takeda","title":"Takeda’s QDENGA®▼ (Dengue Tetravalent Vaccine [Live, Attenuated]) Approved in Indonesia for Use Regardless of Prior Dengue Exposure","URL":"https://www.takeda.com/newsroom/newsreleases/2022/takedas-qdenga-dengue-tetravalent-vaccine-live-attenuated-approved-in-indonesia-for-use-regardless-of-prior-dengue-exposure/","author":[{"family":"Takeda","given":""}],"accessed":{"date-parts":[["2023",8,8]]},"issued":{"date-parts":[["2022",8,22]]}}},{"id":560,"uris":["http://zotero.org/users/10607232/items/AR3Q7KAI"],"itemData":{"id":560,"type":"document","language":"en","publisher":"European Medicine Agency","title":"Dengvaxia","URL":"https://www.ema.europa.eu/en/medicines/human/EPAR/dengvaxia","author":[{"family":"European Medicine Agency","given":""}],"accessed":{"date-parts":[["2023",8,8]]},"issued":{"date-parts":[["2019",2,19]]}}}],"schema":"https://github.com/citation-style-language/schema/raw/master/csl-citation.json"}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szCs w:val="24"/>
        </w:rPr>
        <w:t>(18–20)</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Recently, however, the World Health Organisation (WHO) has recommended that vaccination should be considered as part of a comprehensive strategy to prevent and control dengue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{"citationID":"OJis7Fcz","properties":{"formattedCitation":"(21)","plainCitation":"(21)","noteIndex":0},"citationItems":[{"id":41,"uris":["http://zotero.org/users/10607232/items/SJNETRAG"],"itemData":{"id":41,"type":"article-journal","container-title":"Weekly epidemiological record","issue":"36","page":"457-476","title":"Dengue vaccines: WHO position paper - September 2018","volume":"90","author":[{"family":"WHO","given":""}],"issued":{"date-parts":[["2018"]]}}}],"schema":"https://github.com/citation-style-language/schema/raw/master/csl-citation.json"}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(21)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Although the trials showed that dengue vaccines are well-tolerated and efficacious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{"citationID":"OMxqbRkm","properties":{"formattedCitation":"(22\\uc0\\u8211{}27)","plainCitation":"(22–27)","noteIndex":0},"citationItems":[{"id":45,"uris":["http://zotero.org/users/10607232/items/2U9R6RYE"],"itemData":{"id":45,"type":"article-journal","container-title":"The Lancet","DOI":"10.1016/S0140-6736(20)30414-1","ISSN":"01406736","issue":"10234","journalAbbreviation":"The Lancet","language":"en","page":"1423-1433","source":"DOI.org (Crossref)","title":"Efficacy of a tetravalent dengue vaccine in healthy children aged 4–16 years: a randomised, placebo-controlled, phase 3 trial","title-short":"Efficacy of a tetravalent dengue vaccine in healthy children aged 4–16 years","volume":"395","author":[{"family":"Biswal","given":"Shibadas"},{"family":"Borja-Tabora","given":"Charissa"},{"family":"Martinez Vargas","given":"Luis"},{"family":"Velásquez","given":"Hector"},{"family":"Theresa Alera","given":"Maria"},{"family":"Sierra","given":"Victor"},{"family":"Johana Rodriguez-Arenales","given":"Edith"},{"family":"Yu","given":"Delia"},{"family":"Wickramasinghe","given":"V Pujitha"},{"family":"Duarte Moreira","given":"Edson"},{"family":"Fernando","given":"Asvini D"},{"family":"Gunasekera","given":"Dulanie"},{"family":"Kosalaraksa","given":"Pope"},{"family":"Espinoza","given":"Felix"},{"family":"López-Medina","given":"Eduardo"},{"family":"Bravo","given":"Lulu"},{"family":"Tuboi","given":"Suely"},{"family":"Hutagalung","given":"Yanee"},{"family":"Garbes","given":"Pedro"},{"family":"Escudero","given":"Ian"},{"family":"Rauscher","given":"Martina"},{"family":"Bizjajeva","given":"Svetlana"},{"family":"LeFevre","given":"Inge"},{"family":"Borkowski","given":"Astrid"},{"family":"Saez-Llorens","given":"Xavier"},{"family":"Wallace","given":"Derek"},{"family":"Concepción","given":"Alys"},{"family":"Villarreal","given":"Ana Cecilia"},{"family":"Fernando","given":"Asvini"},{"family":"Borja-Tabora","given":"Charissa"},{"family":"Sirivichayakul","given":"Chukiat"},{"family":"Yu","given":"Delia"},{"family":"Gunasekera","given":"Dulanie"},{"family":"López-Medina","given":"Eduardo"},{"family":"Rodriguez-Arenales","given":"Edith Johanna"},{"family":"Moreira","given":"Edson Duarte"},{"family":"Espinoza","given":"Felix"},{"family":"Velásquez","given":"Hector"},{"family":"Reynales","given":"Humberto"},{"family":"Luz","given":"Kleber"},{"family":"Jimeno","given":"Jose"},{"family":"Fernando","given":"LakKumar"},{"family":"Bravo","given":"Lulu"},{"family":"Vargas","given":"Luis Martinez"},{"family":"Rivera","given":"Luis"},{"family":"Alera","given":"Maria Theresa"},{"family":"Manacharoen","given":"Onanong"},{"family":"Lopez","given":"Pio"},{"family":"Kosalaraksa","given":"Pope"},{"family":"Wickramasinghe","given":"V. Pujitha"},{"family":"Dietze","given":"Reynaldo"},{"family":"Cunha","given":"Rivaldo Venâncio","non-dropping-particle":"da"},{"family":"Watanaveeradej","given":"Veerachai"},{"family":"Sierra","given":"Victor"},{"family":"Saez-Llorens","given":"Xavier"},{"family":"Biswal","given":"Shibadas"},{"family":"Brose","given":"Manja"},{"family":"Rauscher","given":"Martina"},{"family":"Bizjajeva","given":"Svetlana"},{"family":"LeFevre","given":"Inge"},{"family":"Borkowski","given":"Astrid"},{"family":"Wallace","given":"Derek"},{"family":"Escudero","given":"Ian"},{"family":"Moss","given":"Kelley"},{"family":"Garbes","given":"Pedro"},{"family":"Meyer","given":"Seetha"},{"family":"Hutagalung","given":"Yanee"},{"family":"Tuboi","given":"Suely"},{"family":"Tricou","given":"Vianney"}],"issued":{"date-parts":[["2020",5]]}}},{"id":46,"uris":["http://zotero.org/users/10607232/items/VH5H9GZC"],"itemData":{"id":46,"type":"article-journal","container-title":"New England Journal of Medicine","DOI":"10.1056/NEJMoa1903869","ISSN":"0028-4793, 1533-4406","issue":"21","journalAbbreviation":"N Engl J Med","language":"en","page":"2009-2019","source":"DOI.org (Crossref)","title":"Efficacy of a Tetravalent Dengue Vaccine in Healthy Children and Adolescents","volume":"381","author":[{"family":"Biswal","given":"Shibadas"},{"family":"Reynales","given":"Humberto"},{"family":"Saez-Llorens","given":"Xavier"},{"family":"Lopez","given":"Pio"},{"family":"Borja-Tabora","given":"Charissa"},{"family":"Kosalaraksa","given":"Pope"},{"family":"Sirivichayakul","given":"Chukiat"},{"family":"Watanaveeradej","given":"Veerachai"},{"family":"Rivera","given":"Luis"},{"family":"Espinoza","given":"Felix"},{"family":"Fernando","given":"LakKumar"},{"family":"Dietze","given":"Reynaldo"},{"family":"Luz","given":"Kleber"},{"family":"Venâncio da Cunha","given":"Rivaldo"},{"family":"Jimeno","given":"José"},{"family":"López-Medina","given":"Eduardo"},{"family":"Borkowski","given":"Astrid"},{"family":"Brose","given":"Manja"},{"family":"Rauscher","given":"Martina"},{"family":"LeFevre","given":"Inge"},{"family":"Bizjajeva","given":"Svetlana"},{"family":"Bravo","given":"Lulu"},{"family":"Wallace","given":"Derek"}],"issued":{"date-parts":[["2019",11,21]]}}},{"id":43,"uris":["http://zotero.org/users/10607232/items/FGDA878Z"],"itemData":{"id":43,"type":"article-journal","container-title":"The Lancet","DOI":"10.1016/S0140-6736(14)61060-6","ISSN":"01406736","issue":"9951","journalAbbreviation":"The Lancet","language":"en","page":"1358-1365","source":"DOI.org (Crossref)","title":"Clinical efficacy and safety of a novel tetravalent dengue vaccine in healthy children in Asia: a phase 3, randomised, observer-masked, placebo-controlled trial","title-short":"Clinical efficacy and safety of a novel tetravalent dengue vaccine in healthy children in Asia","volume":"384","author":[{"family":"Capeding","given":"Maria Rosario"},{"family":"Tran","given":"Ngoc Huu"},{"family":"Hadinegoro","given":"Sri Rezeki S"},{"family":"Ismail","given":"Hussain Imam HJ Muhammad"},{"family":"Chotpitayasunondh","given":"Tawee"},{"family":"Chua","given":"Mary Noreen"},{"family":"Luong","given":"Chan Quang"},{"family":"Rusmil","given":"Kusnandi"},{"family":"Wirawan","given":"Dewa Nyoman"},{"family":"Nallusamy","given":"Revathy"},{"family":"Pitisuttithum","given":"Punnee"},{"family":"Thisyakorn","given":"Usa"},{"family":"Yoon","given":"In-Kyu"},{"family":"Vliet","given":"Diane","non-dropping-particle":"van der"},{"family":"Langevin","given":"Edith"},{"family":"Laot","given":"Thelma"},{"family":"Hutagalung","given":"Yanee"},{"family":"Frago","given":"Carina"},{"family":"Boaz","given":"Mark"},{"family":"Wartel","given":"T Anh"},{"family":"Tornieporth","given":"Nadia G"},{"family":"Saville","given":"Melanie"},{"family":"Bouckenooghe","given":"Alain"}],"issued":{"date-parts":[["2014",10]]}}},{"id":127,"uris":["http://zotero.org/users/10607232/items/VKGYAWYL"],"itemData":{"id":127,"type":"article-journal","abstract":"BACKGROUND A candidate tetravalent dengue vaccine is being assessed in three clinical trials involving more than 35,000 children between the ages of 2 and 16 years in Asian–Pacific and Latin American countries. We report the results of long-term follow-up interim analyses and integrated efficacy analyses.\nMETHODS We are assessing the incidence of hospitalization for virologically confirmed dengue as a surrogate safety end point during follow-up in years 3 to 6 of two phase 3 trials, CYD14 and CYD15, and a phase 2b trial, CYD23/57. We estimated vaccine efficacy using pooled data from the first 25 months of CYD14 and CYD15.\nRESULTS Follow-up data were available for 10,165 of 10,275 participants (99%) in CYD14 and 19,898 of 20,869 participants (95%) in CYD15. Data were available for 3203 of the 4002 participants (80%) in the CYD23 trial included in CYD57. During year 3 in the CYD14, CYD15, and CYD57 trials combined, hospitalization for virologically confirmed dengue occurred in 65 of 22,177 participants in the vaccine group and 39 of 11,089 participants in the control group. Pooled relative risks of hospitalization for dengue were 0.84 (95% confidence interval [CI], 0.56 to 1.24) among all participants, 1.58 (95% CI, 0.83 to 3.02) among those under the age of 9 years, and 0.50 (95% CI, 0.29 to 0.86) among those 9 years of age or older. During year 3, hospitalization for severe dengue, as defined by the independent data monitoring committee criteria, occurred in 18 of 22,177 participants in the vaccine group and 6 of 11,089 participants in the control group. Pooled rates of efficacy for symptomatic dengue during the first 25 months were 60.3% (95% CI, 55.7 to 64.5) for all participants, 65.6% (95% CI, 60.7 to 69.9) for those 9 years of age or older, and 44.6% (95% CI, 31.6 to 55.0) for those younger than 9 years of age. The authors’ full names, academic degrees, and affiliations are listed in the Appendix. Address reprint requests to Dr. Saville at Sanofi Pasteur, 2 Ave. Pont Pasteur, 69367 Lyon CEDEX 07, France, or at ­melanie.­saville@­sanofipasteur.­com. *A complete list of investigators in the CYD-TDV Dengue Vaccine Working Group is provided in the Supplementary Appendix, available at NEJM.org. This article was published on July 27, 2015, at NEJM.org. N Engl J Med 2015;373:1195-206. DOI: 10.1056/NEJMoa1506223 Copyright © 2015 Massachusetts Medical Society.\nCONCLUSIONS Although the unexplained higher incidence of hospitalization for dengue in year 3 among children younger than 9 years of age needs to be carefully monitored during long-term follow-up, the risk among children 2 to 16 years of age was lower in the vaccine group than in the control group. (Funded by Sanofi Pasteur; ClinicalTrials .gov numbers, NCT00842530, NCT01983553, NCT01373281, and NCT01374516.)","container-title":"New England Journal of Medicine","DOI":"10.1056/NEJMoa1506223","ISSN":"0028-4793, 1533-4406","issue":"13","journalAbbreviation":"N Engl J Med","language":"en","page":"1195-1206","source":"DOI.org (Crossref)","title":"Efficacy and Long-Term Safety of a Dengue Vaccine in Regions of Endemic Disease","volume":"373","author":[{"family":"Hadinegoro","given":"Sri Rezeki"},{"family":"Arredondo-García","given":"Jose Luis"},{"family":"Capeding","given":"Maria Rosario"},{"family":"Deseda","given":"Carmen"},{"family":"Chotpitayasunondh","given":"Tawee"},{"family":"Dietze","given":"Reynaldo"},{"family":"Hj Muhammad Ismail","given":"H.I."},{"family":"Reynales","given":"Humberto"},{"family":"Limkittikul","given":"Kriengsak"},{"family":"Rivera-Medina","given":"Doris Maribel"},{"family":"Tran","given":"Huu Ngoc"},{"family":"Bouckenooghe","given":"Alain"},{"family":"Chansinghakul","given":"Danaya"},{"family":"Cortés","given":"Margarita"},{"family":"Fanouillere","given":"Karen"},{"family":"Forrat","given":"Remi"},{"family":"Frago","given":"Carina"},{"family":"Gailhardou","given":"Sophia"},{"family":"Jackson","given":"Nicholas"},{"family":"Noriega","given":"Fernando"},{"family":"Plennevaux","given":"Eric"},{"family":"Wartel","given":"T. Anh"},{"family":"Zambrano","given":"Betzana"},{"family":"Saville","given":"Melanie"}],"issued":{"date-parts":[["2015",9,24]]}}},{"id":556,"uris":["http://zotero.org/users/10607232/items/RAJUJFLG"],"itemData":{"id":556,"type":"article-journal","abstract":"Background: 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id":44,"uris":["http://zotero.org/users/10607232/items/8QGJ9BPA"],"itemData":{"id":44,"type":"article-journal","container-title":"New England Journal of Medicine","DOI":"10.1056/NEJMoa1411037","ISSN":"0028-4793, 1533-4406","issue":"2","journalAbbreviation":"N Engl J Med","language":"en","page":"113-123","source":"DOI.org (Crossref)","title":"Efficacy of a Tetravalent Dengue Vaccine in Children in Latin America","volume":"372","author":[{"family":"Villar","given":"Luis"},{"family":"Dayan","given":"Gustavo Horacio"},{"family":"Arredondo-García","given":"José Luis"},{"family":"Rivera","given":"Doris Maribel"},{"family":"Cunha","given":"Rivaldo"},{"family":"Deseda","given":"Carmen"},{"family":"Reynales","given":"Humberto"},{"family":"Costa","given":"Maria Selma"},{"family":"Morales-Ramírez","given":"Javier Osvaldo"},{"family":"Carrasquilla","given":"Gabriel"},{"family":"Rey","given":"Luis Carlos"},{"family":"Dietze","given":"Reynaldo"},{"family":"Luz","given":"Kleber"},{"family":"Rivas","given":"Enrique"},{"family":"Miranda Montoya","given":"Maria Consuelo"},{"family":"Cortés Supelano","given":"Margarita"},{"family":"Zambrano","given":"Betzana"},{"family":"Langevin","given":"Edith"},{"family":"Boaz","given":"Mark"},{"family":"Tornieporth","given":"Nadia"},{"family":"Saville","given":"Melanie"},{"family":"Noriega","given":"Fernando"}],"issued":{"date-parts":[["2015",1,8]]}}}],"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szCs w:val="24"/>
        </w:rPr>
        <w:t>(22–27)</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they may pose an increased risk of developing severe dengue infection due to ADE if given to dengue-naive individuals, those who have never had dengue infection before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{"citationID":"5xC85rwk","properties":{"formattedCitation":"(28)","plainCitation":"(28)","noteIndex":0},"citationItems":[{"id":558,"uris":["http://zotero.org/users/10607232/items/D8DY2LDE"],"itemData":{"id":558,"type":"article-journal","abstract":"In 2019, the United States Food and Drug Administration accorded restricted approval to Sanoﬁ Pasteur’s Dengvaxia, a live attenuated vaccine (LAV) for dengue fever, a mosquito-borne viral disease, caused by four antigenically distinct dengue virus serotypes (DENV 1-4). The reason for this limited approval is the concern that this vaccine sensitized some of the dengue-naïve recipients to severe dengue fever. Recent knowledge about the nature of the immune response elicited by DENV viruses suggests that all LAVs have inherent capacity to predominantly elicit antibodies (Abs) against the pre-membrane (prM) and fusion loop epitope (FLE) of DENV. These antibodies are generally cross-reactive among DENV serotypes carrying a higher risk of promoting Antibody-Dependent Enhancement (ADE). ADE is a phenomenon in which suboptimal neutralizing or non-neutralizing cross-reactive antibodies bind to virus and facilitate Fcγ receptor mediated enhanced entry into host cells, followed by its replication, and thus increasing the cellular viral load. On the other hand, antibody responses directed against the host-cell receptor binding domain of DENV envelope domain-III (EDIII), exhibit a higher degree of type-speciﬁcity with lower potential of ADE. The challenges associated with whole DENV-based vaccine strategies necessitate re-focusing our attention toward the designed dengue vaccine candidates, capable of inducing predominantly type-speciﬁc immune responses. If the designed vaccines elicited predominantly EDIII-directed serotype speciﬁc antibodies in the absence of prM and FLE antibodies, this could avoid the ADE phenomenon largely associated with the prM and FLE antibodies. The generation of type-speciﬁc antibodies to each of the four DENV serotypes by the designed vaccines could avoid the immune evasion mechanisms of DENVs. For the enhanced vaccine safety, all dengue vaccine candidates should be assessed for the extent of type-speciﬁc (minimal ADE) vs. cross-reactive (ADE promoting) neutralizing antibodies. The type-speciﬁc EDIII antibodies may be more directly related to protection from disease in the absence of ADE promoted by the cross-reactive antibodies.","container-title":"Frontiers in Cellular and Infection Microbiology","DOI":"10.3389/fcimb.2020.572681","ISSN":"2235-2988","journalAbbreviation":"Front. Cell. Infect. Microbiol.","language":"en","page":"572681","source":"DOI.org (Crossref)","title":"Antibody-Dependent Enhancement: A Challenge for Developing a Safe Dengue Vaccine","title-short":"Antibody-Dependent Enhancement","volume":"10","author":[{"family":"Shukla","given":"Rahul"},{"family":"Ramasamy","given":"Viswanathan"},{"family":"Shanmugam","given":"Rajgokul K."},{"family":"Ahuja","given":"Richa"},{"family":"Khanna","given":"Navin"}],"issued":{"date-parts":[["2020",10,22]]}}}],"schema":"https://github.com/citation-style-language/schema/raw/master/csl-citation.json"}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(28)</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 Therefore, WHO recommends pre-vaccination screening to be done prior to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vaccination and careful assessment at the country level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{"citationID":"2LLqtjem","properties":{"formattedCitation":"(21)","plainCitation":"(21)","noteIndex":0},"citationItems":[{"id":41,"uris":["http://zotero.org/users/10607232/items/SJNETRAG"],"itemData":{"id":41,"type":"article-journal","container-title":"Weekly epidemiological record","issue":"36","page":"457-476","title":"Dengue vaccines: WHO position paper - September 2018","volume":"90","author":[{"family":"WHO","given":""}],"issued":{"date-parts":[["2018"]]}}}],"schema":"https://github.com/citation-style-language/schema/raw/master/csl-citation.json"}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(21)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It should be targeted at those in a highly endemic area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{"citationID":"Y06lhJeP","properties":{"formattedCitation":"(29)","plainCitation":"(29)","noteIndex":0},"citationItems":[{"id":48,"uris":["http://zotero.org/users/10607232/items/ESS6Y9S5"],"itemData":{"id":48,"type":"article-journal","container-title":"PLOS Medicine","DOI":"10.1371/journal.pmed.1002181","ISSN":"1549-1676","issue":"11","journalAbbreviation":"PLoS Med","language":"en","page":"e1002181","source":"DOI.org (Crossref)","title":"The Long-Term Safety, Public Health Impact, and Cost-Effectiveness of Routine Vaccination with a Recombinant, Live-Attenuated Dengue Vaccine (Dengvaxia): A Model Comparison Study","title-short":"The Long-Term Safety, Public Health Impact, and Cost-Effectiveness of Routine Vaccination with a Recombinant, Live-Attenuated Dengue Vaccine (Dengvaxia)","volume":"13","author":[{"family":"Flasche","given":"Stefan"},{"family":"Jit","given":"Mark"},{"family":"Rodríguez-Barraquer","given":"Isabel"},{"family":"Coudeville","given":"Laurent"},{"family":"Recker","given":"Mario"},{"family":"Koelle","given":"Katia"},{"family":"Milne","given":"George"},{"family":"Hladish","given":"Thomas J."},{"family":"Perkins","given":"T. Alex"},{"family":"Cummings","given":"Derek A. T."},{"family":"Dorigatti","given":"Ilaria"},{"family":"Laydon","given":"Daniel J."},{"family":"España","given":"Guido"},{"family":"Kelso","given":"Joel"},{"family":"Longini","given":"Ira"},{"family":"Lourenco","given":"Jose"},{"family":"Pearson","given":"Carl A. B."},{"family":"Reiner","given":"Robert C."},{"family":"Mier-y-Terán-Romero","given":"Luis"},{"family":"Vannice","given":"Kirsten"},{"family":"Ferguson","given":"Neil"}],"editor":[{"family":"Seidlein","given":"Lorenz","non-dropping-particle":"von"}],"issued":{"date-parts":[["2016",11,29]]}}}],"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(29)</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and who already had at least one past dengue infection.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vaccination has been granted by the National Agency for Drug and Food Control of Indonesia (Badan </w:t>
      </w:r>
      <w:proofErr w:type="spellStart"/>
      <w:r w:rsidRPr="000A03F1">
        <w:rPr>
          <w:rFonts w:ascii="Times New Roman" w:hAnsi="Times New Roman" w:cs="Times New Roman"/>
          <w:sz w:val="24"/>
          <w:szCs w:val="24"/>
        </w:rPr>
        <w:t>Pengawas</w:t>
      </w:r>
      <w:proofErr w:type="spellEnd"/>
      <w:r w:rsidRPr="000A03F1">
        <w:rPr>
          <w:rFonts w:ascii="Times New Roman" w:hAnsi="Times New Roman" w:cs="Times New Roman"/>
          <w:sz w:val="24"/>
          <w:szCs w:val="24"/>
        </w:rPr>
        <w:t xml:space="preserve"> Obat dan </w:t>
      </w:r>
      <w:proofErr w:type="spellStart"/>
      <w:r w:rsidRPr="000A03F1">
        <w:rPr>
          <w:rFonts w:ascii="Times New Roman" w:hAnsi="Times New Roman" w:cs="Times New Roman"/>
          <w:sz w:val="24"/>
          <w:szCs w:val="24"/>
        </w:rPr>
        <w:t>Makanan</w:t>
      </w:r>
      <w:proofErr w:type="spellEnd"/>
      <w:r w:rsidRPr="000A03F1">
        <w:rPr>
          <w:rFonts w:ascii="Times New Roman" w:hAnsi="Times New Roman" w:cs="Times New Roman"/>
          <w:sz w:val="24"/>
          <w:szCs w:val="24"/>
        </w:rPr>
        <w:t xml:space="preserve"> (BPOM)) without the need of pre-vaccination test, regardless of the recipient’s past dengue infection history</w:t>
      </w:r>
      <w:r w:rsidR="00931737" w:rsidRPr="000A03F1">
        <w:rPr>
          <w:rFonts w:ascii="Times New Roman" w:hAnsi="Times New Roman" w:cs="Times New Roman"/>
          <w:sz w:val="24"/>
          <w:szCs w:val="24"/>
        </w:rPr>
        <w:t xml:space="preserv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YpdaJyTl","properties":{"formattedCitation":"(19)","plainCitation":"(19)","noteIndex":0},"citationItems":[{"id":561,"uris":["http://zotero.org/users/10607232/items/KZZEYU4Q"],"itemData":{"id":561,"type":"document","language":"en","publisher":"Takeda","title":"Takeda’s QDENGA®▼ (Dengue Tetravalent Vaccine [Live, Attenuated]) Approved in Indonesia for Use Regardless of Prior Dengue Exposure","URL":"https://www.takeda.com/newsroom/newsreleases/2022/takedas-qdenga-dengue-tetravalent-vaccine-live-attenuated-approved-in-indonesia-for-use-regardless-of-prior-dengue-exposure/","author":[{"family":"Takeda","given":""}],"accessed":{"date-parts":[["2023",8,8]]},"issued":{"date-parts":[["2022",8,22]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(19)</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and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have been granted by Indonesia to date, and they intend to roll out a nationwide dengue vaccination </w:t>
      </w:r>
      <w:r w:rsidR="000E3DEB" w:rsidRPr="000A03F1">
        <w:rPr>
          <w:rFonts w:ascii="Times New Roman" w:hAnsi="Times New Roman" w:cs="Times New Roman"/>
          <w:sz w:val="24"/>
          <w:szCs w:val="24"/>
        </w:rPr>
        <w:t>programme</w:t>
      </w:r>
      <w:r w:rsidRPr="000A03F1">
        <w:rPr>
          <w:rFonts w:ascii="Times New Roman" w:hAnsi="Times New Roman" w:cs="Times New Roman"/>
          <w:sz w:val="24"/>
          <w:szCs w:val="24"/>
        </w:rPr>
        <w:t xml:space="preserve"> in 2023, despite an incident of vaccine-related ADE cases after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vaccination roll-out in the Philippines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{"citationID":"bggzLbTP","properties":{"formattedCitation":"(30)","plainCitation":"(30)","noteIndex":0},"citationItems":[{"id":50,"uris":["http://zotero.org/users/10607232/items/FGFFNR8V"],"itemData":{"id":50,"type":"article-newspaper","container-title":"Nature","title":"Dengue vaccine poised for roll-out but safety concerns linger","URL":"https://www.nature.com/articles/d41586-022-03546-2","author":[{"family":"Mallapaty","given":"Smriti"}],"issued":{"date-parts":[["2022",11,11]]}}}],"schema":"https://github.com/citation-style-language/schema/raw/master/csl-citation.json"}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(30)</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w:t>
      </w:r>
    </w:p>
    <w:p w14:paraId="6A186DFD" w14:textId="3F09EA22" w:rsidR="00CE5A47" w:rsidRPr="000A03F1" w:rsidRDefault="00CE5A47" w:rsidP="00741A05">
      <w:pPr>
        <w:spacing w:after="160"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A study demonstrated that dengue in Indonesia was concentrated in certain areas wherewith Jakarta becomes standing out as the city with the highest dengue burden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{"citationID":"MEWTbbyO","properties":{"formattedCitation":"(4)","plainCitation":"(4)","noteIndex":0},"citationItems":[{"id":30,"uris":["http://zotero.org/users/10607232/items/GHG7BQ9M"],"itemData":{"id":30,"type":"article-journal","abstract":"Abstract\n            \n              Background\n              \n                Wolbachia\n                -infected mosquitoes reduce dengue virus transmission, and city-wide releases in Yogyakarta city, Indonesia, are showing promising entomological results. Accurate estimates of the burden of dengue, its spatial distribution and the potential impact of\n                Wolbachia\n                are critical in guiding funder and government decisions on its future wider use.\n              \n            \n            \n              Methods\n              \n                Here, we combine multiple modelling methods for burden estimation to predict national case burden disaggregated by severity and map the distribution of burden across the country using three separate data sources. An ensemble of transmission models then predicts the estimated reduction in dengue transmission following a nationwide roll-out of wMel\n                Wolbachia\n                .\n              \n            \n            \n              Results\n              \n                We estimate that 7.8 million (95% uncertainty interval [UI] 1.8–17.7 million) symptomatic dengue cases occurred in Indonesia in 2015 and were associated with 332,865 (UI 94,175–754,203) lost disability-adjusted life years (DALYs). The majority of dengue’s burden was due to non-severe cases that did not seek treatment or were challenging to diagnose in outpatient settings leading to substantial underreporting. Estimated burden was highly concentrated in a small number of large cities with 90% of dengue cases occurring in 15.3% of land area. Implementing a nationwide\n                Wolbachia\n                population replacement programme was estimated to avert 86.2% (UI 36.2–99.9%) of cases over a long-term average.\n              \n            \n            \n              Conclusions\n              \n                These results suggest interventions targeted to the highest burden cities can have a disproportionate impact on dengue burden. Area-wide interventions, such as\n                Wolbachia\n                , that are deployed based on the area covered could protect people more efficiently than individual-based interventions, such as vaccines, in such dense environments.","container-title":"BMC Medicine","DOI":"10.1186/s12916-019-1396-4","ISSN":"1741-7015","issue":"1","journalAbbreviation":"BMC Med","language":"en","page":"172","source":"DOI.org (Crossref)","title":"Estimating the burden of dengue and the impact of release of wMel Wolbachia-infected mosquitoes in Indonesia: a modelling study","title-short":"Estimating the burden of dengue and the impact of release of wMel Wolbachia-infected mosquitoes in Indonesia","volume":"17","author":[{"family":"O’Reilly","given":"Kathleen M."},{"family":"Hendrickx","given":"Emilie"},{"family":"Kharisma","given":"Dinar D."},{"family":"Wilastonegoro","given":"Nandyan N."},{"family":"Carrington","given":"Lauren B."},{"family":"Elyazar","given":"Iqbal R. F."},{"family":"Kucharski","given":"Adam J."},{"family":"Lowe","given":"Rachel"},{"family":"Flasche","given":"Stefan"},{"family":"Pigott","given":"David M."},{"family":"Reiner","given":"Robert C."},{"family":"Edmunds","given":"W. John"},{"family":"Hay","given":"Simon I."},{"family":"Yakob","given":"Laith"},{"family":"Shepard","given":"Donald S."},{"family":"Brady","given":"Oliver J."}],"issued":{"date-parts":[["2019",12]]}}}],"schema":"https://github.com/citation-style-language/schema/raw/master/csl-citation.json"}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(4)</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In a separate study, the intensity of dengue transmission in Jakarta was also demonstrated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{"citationID":"SfzLshos","properties":{"formattedCitation":"(31)","plainCitation":"(31)","noteIndex":0},"citationItems":[{"id":55,"uris":["http://zotero.org/users/10607232/items/CEZDQYKF"],"itemData":{"id":55,"type":"article-journal","container-title":"PLOS Neglected Tropical Diseases","DOI":"10.1371/journal.pntd.0008102","ISSN":"1935-2735","issue":"3","journalAbbreviation":"PLoS Negl Trop Dis","language":"en","page":"e0008102","source":"DOI.org (Crossref)","title":"Spatiotemporal variability in dengue transmission intensity in Jakarta, Indonesia","volume":"14","author":[{"family":"O’Driscoll","given":"Megan"},{"family":"Imai","given":"Natsuko"},{"family":"Ferguson","given":"Neil M."},{"family":"Hadinegoro","given":"Sri Rezeki"},{"family":"Satari","given":"Hindra Irawan"},{"family":"Tam","given":"Clarence C."},{"family":"Dorigatti","given":"Ilaria"}],"editor":[{"family":"Azman","given":"Andrew S."}],"issued":{"date-parts":[["2020",3,6]]}}}],"schema":"https://github.com/citation-style-language/schema/raw/master/csl-citation.json"}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w:t>
      </w:r>
      <w:r w:rsidR="00931737" w:rsidRPr="000A03F1">
        <w:rPr>
          <w:rFonts w:ascii="Times New Roman" w:hAnsi="Times New Roman" w:cs="Times New Roman"/>
          <w:sz w:val="24"/>
          <w:szCs w:val="24"/>
        </w:rPr>
        <w:t xml:space="preserve">As opposed to </w:t>
      </w:r>
      <w:proofErr w:type="spellStart"/>
      <w:r w:rsidR="00931737" w:rsidRPr="000A03F1">
        <w:rPr>
          <w:rFonts w:ascii="Times New Roman" w:hAnsi="Times New Roman" w:cs="Times New Roman"/>
          <w:sz w:val="24"/>
          <w:szCs w:val="24"/>
        </w:rPr>
        <w:t>Dengvaxia</w:t>
      </w:r>
      <w:proofErr w:type="spellEnd"/>
      <w:r w:rsidR="00931737" w:rsidRPr="000A03F1">
        <w:rPr>
          <w:rFonts w:ascii="Times New Roman" w:hAnsi="Times New Roman" w:cs="Times New Roman"/>
          <w:sz w:val="24"/>
          <w:szCs w:val="24"/>
        </w:rPr>
        <w:t>,</w:t>
      </w:r>
      <w:r w:rsidRPr="000A03F1">
        <w:rPr>
          <w:rFonts w:ascii="Times New Roman" w:hAnsi="Times New Roman" w:cs="Times New Roman"/>
          <w:sz w:val="24"/>
          <w:szCs w:val="24"/>
        </w:rPr>
        <w:t xml:space="preserve">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has been approved in Indonesia without implementing pre-vaccination screening</w:t>
      </w:r>
      <w:r w:rsidR="00BA1E4E" w:rsidRPr="000A03F1">
        <w:rPr>
          <w:rFonts w:ascii="Times New Roman" w:hAnsi="Times New Roman" w:cs="Times New Roman"/>
          <w:sz w:val="24"/>
          <w:szCs w:val="24"/>
        </w:rPr>
        <w:t>.</w:t>
      </w:r>
      <w:r w:rsidRPr="000A03F1">
        <w:rPr>
          <w:rFonts w:ascii="Times New Roman" w:hAnsi="Times New Roman" w:cs="Times New Roman"/>
          <w:sz w:val="24"/>
          <w:szCs w:val="24"/>
        </w:rPr>
        <w:t xml:space="preserve"> </w:t>
      </w:r>
      <w:r w:rsidR="00BA1E4E" w:rsidRPr="000A03F1">
        <w:rPr>
          <w:rFonts w:ascii="Times New Roman" w:hAnsi="Times New Roman" w:cs="Times New Roman"/>
          <w:bCs/>
          <w:sz w:val="24"/>
          <w:szCs w:val="24"/>
        </w:rPr>
        <w:t xml:space="preserve">This has raised a question whether it should be better to do screening in </w:t>
      </w:r>
      <w:proofErr w:type="spellStart"/>
      <w:r w:rsidR="00BA1E4E" w:rsidRPr="000A03F1">
        <w:rPr>
          <w:rFonts w:ascii="Times New Roman" w:hAnsi="Times New Roman" w:cs="Times New Roman"/>
          <w:bCs/>
          <w:sz w:val="24"/>
          <w:szCs w:val="24"/>
        </w:rPr>
        <w:t>Qdenga</w:t>
      </w:r>
      <w:proofErr w:type="spellEnd"/>
      <w:r w:rsidR="00BA1E4E" w:rsidRPr="000A03F1">
        <w:rPr>
          <w:rFonts w:ascii="Times New Roman" w:hAnsi="Times New Roman" w:cs="Times New Roman"/>
          <w:bCs/>
          <w:sz w:val="24"/>
          <w:szCs w:val="24"/>
        </w:rPr>
        <w:t xml:space="preserve">, similar to </w:t>
      </w:r>
      <w:proofErr w:type="spellStart"/>
      <w:r w:rsidR="00BA1E4E" w:rsidRPr="000A03F1">
        <w:rPr>
          <w:rFonts w:ascii="Times New Roman" w:hAnsi="Times New Roman" w:cs="Times New Roman"/>
          <w:bCs/>
          <w:sz w:val="24"/>
          <w:szCs w:val="24"/>
        </w:rPr>
        <w:t>Dengvaxia</w:t>
      </w:r>
      <w:proofErr w:type="spellEnd"/>
      <w:r w:rsidR="00BA1E4E" w:rsidRPr="000A03F1">
        <w:rPr>
          <w:rFonts w:ascii="Times New Roman" w:hAnsi="Times New Roman" w:cs="Times New Roman"/>
          <w:bCs/>
          <w:sz w:val="24"/>
          <w:szCs w:val="24"/>
        </w:rPr>
        <w:t xml:space="preserve">. </w:t>
      </w:r>
      <w:r w:rsidR="00851830" w:rsidRPr="000A03F1">
        <w:rPr>
          <w:rFonts w:ascii="Times New Roman" w:hAnsi="Times New Roman" w:cs="Times New Roman"/>
          <w:sz w:val="24"/>
          <w:szCs w:val="24"/>
        </w:rPr>
        <w:t>T</w:t>
      </w:r>
      <w:r w:rsidRPr="000A03F1">
        <w:rPr>
          <w:rFonts w:ascii="Times New Roman" w:hAnsi="Times New Roman" w:cs="Times New Roman"/>
          <w:sz w:val="24"/>
          <w:szCs w:val="24"/>
        </w:rPr>
        <w:t xml:space="preserve">his study aims to determining the impact of pre-vaccination screening </w:t>
      </w:r>
      <w:r w:rsidR="00D36040" w:rsidRPr="000A03F1">
        <w:rPr>
          <w:rFonts w:ascii="Times New Roman" w:hAnsi="Times New Roman" w:cs="Times New Roman"/>
          <w:sz w:val="24"/>
          <w:szCs w:val="24"/>
        </w:rPr>
        <w:t>through mathematical modelling and</w:t>
      </w:r>
      <w:r w:rsidRPr="000A03F1">
        <w:rPr>
          <w:rFonts w:ascii="Times New Roman" w:hAnsi="Times New Roman" w:cs="Times New Roman"/>
          <w:sz w:val="24"/>
          <w:szCs w:val="24"/>
        </w:rPr>
        <w:t xml:space="preserve"> scenario analys</w:t>
      </w:r>
      <w:r w:rsidR="00402428" w:rsidRPr="000A03F1">
        <w:rPr>
          <w:rFonts w:ascii="Times New Roman" w:hAnsi="Times New Roman" w:cs="Times New Roman"/>
          <w:sz w:val="24"/>
          <w:szCs w:val="24"/>
        </w:rPr>
        <w:t>i</w:t>
      </w:r>
      <w:r w:rsidRPr="000A03F1">
        <w:rPr>
          <w:rFonts w:ascii="Times New Roman" w:hAnsi="Times New Roman" w:cs="Times New Roman"/>
          <w:sz w:val="24"/>
          <w:szCs w:val="24"/>
        </w:rPr>
        <w:t xml:space="preserve">s. Additionally, it is likely that Indonesia would adopt a stepwise approach before national vaccination roll-out would have been achieved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{"citationID":"PakrU2QI","properties":{"formattedCitation":"(32)","plainCitation":"(32)","noteIndex":0},"citationItems":[{"id":574,"uris":["http://zotero.org/users/10607232/items/QXAXYXWQ"],"itemData":{"id":574,"type":"article-journal","abstract":"Despite the fact that the incidence and mortality rates due to dengue virus (DENV) infection in Indonesia are relatively high, dengue vaccination has not yet been introduced. This study aimed to analyse the cost-effectiveness and the budget impact of dengue vaccination in Indonesia by taking the potential of pre-vaccination screening into account. An age-structured decision tree model was developed to assess the cost-effectiveness value by applying a single cohort of 4,710,100 children that was followed-up in a 10-year time horizon within a 1-year analytical cycle. The budget impact was analysed in a 5-year period (2020–2024) by considering provinces’ readiness to introduce dengue vaccine and their incidence rate of DENV infection in the last 10 years. Vaccination that was coupled with pre-vaccination screening would reduce dengue fever (DF), dengue haemorrhagic fever (DHF) and dengue shock syndrome (DSS) by 188,142, 148,089 and 426 cases, respectively. It would save treatment cost at $23,433,695 and $14,091,642 from the healthcare and payer perspective, respectively. The incremental cost-effectiveness ratios (ICERs) would be $5,733 and $5,791 per quality-adjusted-life-year (QALY) gained from both perspectives. The most influential parameters affecting the ICERs were probability of DENV infection, vaccine efficacy, under-reporting factor, vaccine price, case fatality rate and screening cost. It can be concluded that dengue vaccination and pre-vaccination screening would be cost-effective to be implemented in Indonesia. Nevertheless, it seems unaffordable to be implemented since the total required cost for the nationwide vaccination would be 94.44% of routine immunization budget.","container-title":"PLOS Neglected Tropical Diseases","DOI":"10.1371/journal.pntd.0009664","ISSN":"1935-2735","issue":"8","journalAbbreviation":"PLoS Negl Trop Dis","language":"en","page":"e0009664","source":"DOI.org (Crossref)","title":"Cost-effectiveness and budget impact analyses of dengue vaccination in Indonesia","volume":"15","author":[{"family":"Suwantika","given":"Auliya Abdurrohim"},{"family":"Supadmi","given":"Woro"},{"family":"Ali","given":"Mohammad"},{"family":"Abdulah","given":"Rizky"}],"editor":[{"family":"Forshey","given":"Brett M."}],"issued":{"date-parts":[["2021",8,12]]}}}],"schema":"https://github.com/citation-style-language/schema/raw/master/csl-citation.json"}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(32)</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Therefore, we could </w:t>
      </w:r>
      <w:r w:rsidR="00353299" w:rsidRPr="000A03F1">
        <w:rPr>
          <w:rFonts w:ascii="Times New Roman" w:hAnsi="Times New Roman" w:cs="Times New Roman"/>
          <w:sz w:val="24"/>
          <w:szCs w:val="24"/>
        </w:rPr>
        <w:t>shed light</w:t>
      </w:r>
      <w:r w:rsidRPr="000A03F1">
        <w:rPr>
          <w:rFonts w:ascii="Times New Roman" w:hAnsi="Times New Roman" w:cs="Times New Roman"/>
          <w:sz w:val="24"/>
          <w:szCs w:val="24"/>
        </w:rPr>
        <w:t xml:space="preserve"> of how the dengue vaccination roll-out and the </w:t>
      </w:r>
      <w:r w:rsidRPr="000A03F1">
        <w:rPr>
          <w:rFonts w:ascii="Times New Roman" w:hAnsi="Times New Roman" w:cs="Times New Roman"/>
          <w:sz w:val="24"/>
          <w:szCs w:val="24"/>
        </w:rPr>
        <w:lastRenderedPageBreak/>
        <w:t>implementation of pre-vaccination screening can help Indonesia in reducing the dengue burden by considering Jakarta as an example.</w:t>
      </w:r>
    </w:p>
    <w:p w14:paraId="46407939" w14:textId="5DED3432" w:rsidR="00CE5A47" w:rsidRPr="000A03F1" w:rsidRDefault="00E013FD" w:rsidP="003A6540">
      <w:pPr>
        <w:pStyle w:val="Heading1"/>
        <w:rPr>
          <w:rFonts w:ascii="Times New Roman" w:hAnsi="Times New Roman" w:cs="Times New Roman"/>
        </w:rPr>
      </w:pPr>
      <w:r w:rsidRPr="000A03F1">
        <w:rPr>
          <w:rFonts w:ascii="Times New Roman" w:hAnsi="Times New Roman" w:cs="Times New Roman"/>
        </w:rPr>
        <w:t>2. Methodology</w:t>
      </w:r>
    </w:p>
    <w:p w14:paraId="32775247" w14:textId="61066C02" w:rsidR="00CE5A47" w:rsidRPr="000A03F1" w:rsidRDefault="00515414"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study adapted the Duke model of dengue, a compartment model of extended SIR clinical cross-immunity model by Nagao and Koelle </w:t>
      </w: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{"citationID":"OGK3dxkf","properties":{"formattedCitation":"(33)","plainCitation":"(33)","noteIndex":0},"citationItems":[{"id":510,"uris":["http://zotero.org/users/10607232/items/HZAHK79K"],"itemData":{"id":510,"type":"article-journal","abstract":"Dengue hemorrhagic fever (DHF) is a potentially fatal manifestation of an infection with the mosquito-borne dengue virus. Because of the social and economic costs of DHF, many countries in Asia and South America have initiated public health measures aimed at vector control. Despite these measures, DHF incidence rates do not appear to be declining. The effectiveness of vector control in reducing dengue transmissibility has thereby been questioned. Here, we revisit this conclusion using epidemiological data from Thailand. We first show, with age incidence data, that dengue transmission rates have fallen since 1981; surprisingly, however, these declines are not associated with decreases in DHF incidence. Instead, district-level analyses indicate a nonmonotonic relationship between the basic reproductive number\n              R\n              0\n              and DHF incidence. To understand this relationship, we formulated three mathematical models, which differ in their assumptions of transient between-serotype cross-protection. Unlike the first two models, the previously unconsidered third model with clinical cross-protection can reproduce this nonmonotonic relationship. Simulation of this model with nonstationary\n              R\n              0\n              reproduces several previously unexplained patterns of dengue dynamics, including a transition from a ≈2-year cycle to a ≈4-year cycle and a transient trough in DHF incidence in provinces with rapid\n              R\n              0\n              declines. These results imply that DHF incidence can be effectively controlled with a sufficiently large reduction in\n              R\n              0\n              but that moderate reductions may be counterproductive. More broadly, these results show that assuming parameter stationarity in systems with approximate stationarity in disease incidence is unjustified and may result in missed opportunities to understand the drivers of disease variability.","container-title":"Proceedings of the National Academy of Sciences","DOI":"10.1073/pnas.0709029105","ISSN":"0027-8424, 1091-6490","issue":"6","journalAbbreviation":"Proc. Natl. Acad. Sci. U.S.A.","language":"en","page":"2238-2243","source":"DOI.org (Crossref)","title":"Decreases in dengue transmission may act to increase the incidence of dengue hemorrhagic fever","volume":"105","author":[{"family":"Nagao","given":"Yoshiro"},{"family":"Koelle","given":"Katia"}],"issued":{"date-parts":[["2008",2,12]]}}}],"schema":"https://github.com/citation-style-language/schema/raw/master/csl-citation.json"}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(33)</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to examine the </w:t>
      </w:r>
      <w:r w:rsidR="00340149" w:rsidRPr="000A03F1">
        <w:rPr>
          <w:rFonts w:ascii="Times New Roman" w:hAnsi="Times New Roman" w:cs="Times New Roman"/>
          <w:sz w:val="24"/>
          <w:szCs w:val="24"/>
        </w:rPr>
        <w:t>dengue haemorrhagic fever (DHF)</w:t>
      </w:r>
      <w:r w:rsidRPr="000A03F1">
        <w:rPr>
          <w:rFonts w:ascii="Times New Roman" w:hAnsi="Times New Roman" w:cs="Times New Roman"/>
          <w:sz w:val="24"/>
          <w:szCs w:val="24"/>
        </w:rPr>
        <w:t xml:space="preserve"> dynamics and the impact of dengue vaccination and screening on DHF cases averted.</w:t>
      </w:r>
      <w:r w:rsidR="002D01FB" w:rsidRPr="000A03F1">
        <w:rPr>
          <w:rFonts w:ascii="Times New Roman" w:hAnsi="Times New Roman" w:cs="Times New Roman"/>
          <w:sz w:val="24"/>
          <w:szCs w:val="24"/>
        </w:rPr>
        <w:t xml:space="preserve"> The overall workflow was depicted in </w:t>
      </w:r>
      <w:r w:rsidR="002D01FB" w:rsidRPr="000A03F1">
        <w:rPr>
          <w:rFonts w:ascii="Times New Roman" w:hAnsi="Times New Roman" w:cs="Times New Roman"/>
          <w:b/>
          <w:bCs/>
          <w:sz w:val="24"/>
          <w:szCs w:val="24"/>
        </w:rPr>
        <w:t>fig. S1</w:t>
      </w:r>
      <w:r w:rsidR="002D01FB" w:rsidRPr="000A03F1">
        <w:rPr>
          <w:rFonts w:ascii="Times New Roman" w:hAnsi="Times New Roman" w:cs="Times New Roman"/>
          <w:sz w:val="24"/>
          <w:szCs w:val="24"/>
        </w:rPr>
        <w:t>.</w:t>
      </w:r>
    </w:p>
    <w:p w14:paraId="269C4E14" w14:textId="6AF9FF1A" w:rsidR="00CE5A47" w:rsidRPr="000A03F1" w:rsidRDefault="00B60174" w:rsidP="00E231D1">
      <w:pPr>
        <w:pStyle w:val="Heading2"/>
        <w:rPr>
          <w:rFonts w:ascii="Times New Roman" w:hAnsi="Times New Roman" w:cs="Times New Roman"/>
        </w:rPr>
      </w:pPr>
      <w:r w:rsidRPr="000A03F1">
        <w:rPr>
          <w:rFonts w:ascii="Times New Roman" w:hAnsi="Times New Roman" w:cs="Times New Roman"/>
        </w:rPr>
        <w:t xml:space="preserve">2.1. </w:t>
      </w:r>
      <w:r w:rsidR="00BD25AF" w:rsidRPr="000A03F1">
        <w:rPr>
          <w:rFonts w:ascii="Times New Roman" w:hAnsi="Times New Roman" w:cs="Times New Roman"/>
        </w:rPr>
        <w:t>Transmission model</w:t>
      </w:r>
    </w:p>
    <w:p w14:paraId="2ACDF838" w14:textId="2E4C4B63" w:rsidR="00215545" w:rsidRPr="000A03F1" w:rsidRDefault="00FB49FA"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Duke model was adapted to model DHF dynamics in the absence of vaccination. </w:t>
      </w:r>
      <w:r w:rsidR="00215545" w:rsidRPr="000A03F1">
        <w:rPr>
          <w:rFonts w:ascii="Times New Roman" w:hAnsi="Times New Roman" w:cs="Times New Roman"/>
          <w:sz w:val="24"/>
          <w:szCs w:val="24"/>
        </w:rPr>
        <w:t xml:space="preserve">In this transmission model, we allow seroconversion to occur during a period of temporary heterologous immunity. The possibility of seroconversion upon challenge during temporal heterologous protection without developing clinical cases might also be explained by several studies </w:t>
      </w:r>
      <w:r w:rsidR="004B23C6"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255ae83dm8","properties":{"formattedCitation":"(13,34,35)","plainCitation":"(13,34,35)","noteIndex":0},"citationItems":[{"id":530,"uris":["http://zotero.org/users/10607232/items/Y3HWX6NQ"],"itemData":{"id":530,"type":"article-journal","DOI":"https://doi.org/10.4269/ajtmh.1952.1.30","issue":"1","journalAbbreviation":"Am J Trop Med","language":"en","page":"30-50","source":"Zotero","title":"Research on Dengue during World War II","volume":"1","author":[{"family":"Sabin","given":"Albert B."}],"issued":{"date-parts":[["1952",1]]}}},{"id":616,"uris":["http://zotero.org/users/10607232/items/Y9AEAEYV"],"itemData":{"id":616,"type":"article-journal","abstract":"As part of a dengue vaccine study, it was necessaryto determine how much virus was required to infect rhesus monkeys. Serial dilutions of dengue 2 and 4 viruses were inoculated subcutaneously into groups of five monkeys and seroconversions determined on days 30 and 60 post-inoculation. The viruses were also titrated simultaneously in LLC-MK2 cells and mosquitoes. It was calculated that 9.5 mosquito infectious doses 50 (MIDso) of dengue 2 virus and 22 MIDso of dengue 4 virus were required to infect 50% of the monkeys. The data suggestthat 100MIDST of dengue virus should be used as a challenge dose for monkeys previously immunized with dengue vaccine.","container-title":"Transactions of the Royal Society of Tropical Medicine and Hygiene","DOI":"10.1016/0035-9203(85)90348-7","ISSN":"00359203","issue":"2","journalAbbreviation":"Transactions of the Royal Society of Tropical Medicine and Hygiene","language":"en","page":"248-251","source":"DOI.org (Crossref)","title":"Quantity of dengue virus required to infect rhesus monkeys","volume":"79","author":[{"family":"Kraiselburd","given":"Edmundo"},{"family":"Gubler","given":"Duane J."},{"family":"Kessler","given":"Matthew J."}],"issued":{"date-parts":[["1985",1]]}}},{"id":614,"uris":["http://zotero.org/users/10607232/items/DBS79X4U"],"itemData":{"id":614,"type":"article-journal","container-title":"The Journal of Infectious Diseases","DOI":"10.1086/427511","ISSN":"0022-1899, 1537-6613","issue":"6","journalAbbreviation":"J INFECT DIS","language":"en","page":"1000-1004","source":"DOI.org (Crossref)","title":"Cross‐Serotype Neutralization of Dengue Virus in &lt;i&gt;Aotus&lt;/i&gt; &lt;i&gt;nancymae&lt;/i&gt; Monkeys","volume":"191","author":[{"family":"Kochel","given":"Tadeusz J."},{"family":"Watts","given":"Douglas M."},{"family":"Gozalo","given":"Alfonso S."},{"family":"Ewing","given":"Daniel F."},{"family":"Porter","given":"Kevin R."},{"family":"Russell","given":"Kevin L."}],"issued":{"date-parts":[["2005",3,15]]}}}],"schema":"https://github.com/citation-style-language/schema/raw/master/csl-citation.json"} </w:instrText>
      </w:r>
      <w:r w:rsidR="004B23C6" w:rsidRPr="000A03F1">
        <w:rPr>
          <w:rFonts w:ascii="Times New Roman" w:hAnsi="Times New Roman" w:cs="Times New Roman"/>
          <w:sz w:val="24"/>
          <w:szCs w:val="24"/>
        </w:rPr>
        <w:fldChar w:fldCharType="separate"/>
      </w:r>
      <w:r w:rsidR="004B23C6" w:rsidRPr="000A03F1">
        <w:rPr>
          <w:rFonts w:ascii="Times New Roman" w:hAnsi="Times New Roman" w:cs="Times New Roman"/>
          <w:sz w:val="24"/>
          <w:szCs w:val="24"/>
        </w:rPr>
        <w:t>(13,34,35)</w:t>
      </w:r>
      <w:r w:rsidR="004B23C6" w:rsidRPr="000A03F1">
        <w:rPr>
          <w:rFonts w:ascii="Times New Roman" w:hAnsi="Times New Roman" w:cs="Times New Roman"/>
          <w:sz w:val="24"/>
          <w:szCs w:val="24"/>
        </w:rPr>
        <w:fldChar w:fldCharType="end"/>
      </w:r>
      <w:r w:rsidR="00215545" w:rsidRPr="000A03F1">
        <w:rPr>
          <w:rFonts w:ascii="Times New Roman" w:hAnsi="Times New Roman" w:cs="Times New Roman"/>
          <w:sz w:val="24"/>
          <w:szCs w:val="24"/>
        </w:rPr>
        <w:t xml:space="preserve">. Additionally, this model segregated all DENV serotypes, allowing us to model </w:t>
      </w:r>
      <w:r w:rsidR="00CD758B" w:rsidRPr="000A03F1">
        <w:rPr>
          <w:rFonts w:ascii="Times New Roman" w:hAnsi="Times New Roman" w:cs="Times New Roman"/>
          <w:sz w:val="24"/>
          <w:szCs w:val="24"/>
        </w:rPr>
        <w:t xml:space="preserve">individual serotypes and applied serotype-specific VE data into the vaccination model which is described in more detail in the </w:t>
      </w:r>
      <w:r w:rsidR="00CD758B" w:rsidRPr="000A03F1">
        <w:rPr>
          <w:rFonts w:ascii="Times New Roman" w:hAnsi="Times New Roman" w:cs="Times New Roman"/>
          <w:b/>
          <w:bCs/>
          <w:sz w:val="24"/>
          <w:szCs w:val="24"/>
        </w:rPr>
        <w:t>Appendix S1</w:t>
      </w:r>
      <w:r w:rsidR="00CD758B" w:rsidRPr="000A03F1">
        <w:rPr>
          <w:rFonts w:ascii="Times New Roman" w:hAnsi="Times New Roman" w:cs="Times New Roman"/>
          <w:sz w:val="24"/>
          <w:szCs w:val="24"/>
        </w:rPr>
        <w:t>.</w:t>
      </w:r>
    </w:p>
    <w:p w14:paraId="2EF0F7AB" w14:textId="33C0C002" w:rsidR="00CE5A47" w:rsidRPr="000A03F1" w:rsidRDefault="00FB49FA" w:rsidP="00515414">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However</w:t>
      </w:r>
      <w:r w:rsidR="00CE5A47" w:rsidRPr="000A03F1">
        <w:rPr>
          <w:rFonts w:ascii="Times New Roman" w:hAnsi="Times New Roman" w:cs="Times New Roman"/>
          <w:sz w:val="24"/>
          <w:szCs w:val="24"/>
        </w:rPr>
        <w:t xml:space="preserve">, there are two important differences from the original model. First, as recent evidence showed that ADE occurs as a result of antibody titre level dynamics </w:t>
      </w:r>
      <w:r w:rsidR="00CE5A47"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{"citationID":"poNvVhbl","properties":{"formattedCitation":"(17,36)","plainCitation":"(17,36)","noteIndex":0},"citationItems":[{"id":538,"uris":["http://zotero.org/users/10607232/items/8ND68IVI"],"itemData":{"id":538,"type":"article-journal","abstract":"Significance\n            The four dengue virus serotypes (DENV1–4) are the most prevalent arboviruses worldwide and cause outcomes ranging from inapparent infection to severe disease. Neutralizing antibodies are believed to be critical for protection and therefore for dengue vaccines, but the titers required to prevent symptomatic DENV infection have not been well established. Here, we show that higher preinfection neutralizing antibody titers correlate with lower probability of symptomatic infection in children in a longitudinal cohort study in Nicaragua. Further, we find evidence that levels of cross-reactive neutralizing antibodies are maintained over time, possibly due to reexposure. These findings provide insight into the determinants of DENV infection outcome and long-term immunity in an endemic setting and are relevant for dengue vaccine development.\n          , \n            The four dengue virus serotypes (DENV1–4) are mosquito-borne flaviviruses that infect </w:instrText>
      </w:r>
      <w:r w:rsidR="004B23C6" w:rsidRPr="000A03F1">
        <w:rPr>
          <w:rFonts w:ascii="Cambria Math" w:hAnsi="Cambria Math" w:cs="Cambria Math"/>
          <w:sz w:val="24"/>
          <w:szCs w:val="24"/>
        </w:rPr>
        <w:instrText>∼</w:instrText>
      </w:r>
      <w:r w:rsidR="004B23C6" w:rsidRPr="000A03F1">
        <w:rPr>
          <w:rFonts w:ascii="Times New Roman" w:hAnsi="Times New Roman" w:cs="Times New Roman"/>
          <w:sz w:val="24"/>
          <w:szCs w:val="24"/>
        </w:rPr>
        <w:instrText xml:space="preserve">390 million people annually; up to 100 million infections are symptomatic, and 500,000 cases progress to severe disease. Exposure to a heterologous DENV serotype, the specific infecting DENV strains, and the interval of time between infections, as well as age, ethnicity, genetic polymorphisms, and comorbidities of the host, are all risk factors for severe dengue. In contrast, neutralizing antibodies (NAbs) are thought to provide long-lived protection against symptomatic infection and severe dengue. The objective of dengue vaccines is to provide balanced protection against all DENV serotypes simultaneously. However, the association between homotypic and heterotypic NAb titers and protection against symptomatic infection remains poorly understood. Here, we demonstrate that the titer of preinfection cross-reactive NAbs correlates with reduced likelihood of symptomatic secondary infection in a longitudinal pediatric dengue cohort in Nicaragua. The protective effect of NAb titers on infection outcome remained significant when controlled for age, number of years between infections, and epidemic force, as well as with relaxed or more stringent criteria for defining inapparent DENV infections. Further, individuals with higher NAb titers immediately after primary infection had delayed symptomatic infections compared with those with lower titers. However, overall NAb titers increased modestly in magnitude and remained serotype cross-reactive in the years between infections, possibly due to reexposure. These findings establish that anti-DENV NAb titers correlate with reduced probability of symptomatic DENV infection and provide insights into longitudinal characteristics of antibody-mediated immunity to DENV in an endemic setting.","container-title":"Proceedings of the National Academy of Sciences","DOI":"10.1073/pnas.1522136113","ISSN":"0027-8424, 1091-6490","issue":"3","journalAbbreviation":"Proc. Natl. Acad. Sci. U.S.A.","language":"en","page":"728-733","source":"DOI.org (Crossref)","title":"Neutralizing antibody titers against dengue virus correlate with protection from symptomatic infection in a longitudinal cohort","volume":"113","author":[{"family":"Katzelnick","given":"Leah C."},{"family":"Montoya","given":"Magelda"},{"family":"Gresh","given":"Lionel"},{"family":"Balmaseda","given":"Angel"},{"family":"Harris","given":"Eva"}],"issued":{"date-parts":[["2016",1,19]]}}},{"id":571,"uris":["http://zotero.org/users/10607232/items/V7BULXG9"],"itemData":{"id":571,"type":"article-journal","container-title":"Nature","DOI":"10.1038/s41586-018-0157-4","ISSN":"0028-0836, 1476-4687","issue":"7707","journalAbbreviation":"Nature","language":"en","page":"719-723","source":"DOI.org (Crossref)","title":"Reconstruction of antibody dynamics and infection histories to evaluate dengue risk","volume":"557","author":[{"family":"Salje","given":"Henrik"},{"family":"Cummings","given":"Derek A. T."},{"family":"Rodriguez-Barraquer","given":"Isabel"},{"family":"Katzelnick","given":"Leah C."},{"family":"Lessler","given":"Justin"},{"family":"Klungthong","given":"Chonticha"},{"family":"Thaisomboonsuk","given":"Butsaya"},{"family":"Nisalak","given":"Ananda"},{"family":"Weg","given":"Alden"},{"family":"Ellison","given":"Damon"},{"family":"Macareo","given":"Louis"},{"family":"Yoon","given":"In-Kyu"},{"family":"Jarman","given":"Richard"},{"family":"Thomas","given":"Stephen"},{"family":"Rothman","given":"Alan L."},{"family":"Endy","given":"Timothy"},{"family":"Cauchemez","given":"Simon"}],"issued":{"date-parts":[["2018",5]]}}}],"schema":"https://github.com/citation-style-language/schema/raw/master/csl-citation.json"} </w:instrText>
      </w:r>
      <w:r w:rsidR="00CE5A47"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(17,36)</w:t>
      </w:r>
      <w:r w:rsidR="00CE5A47" w:rsidRPr="000A03F1">
        <w:rPr>
          <w:rFonts w:ascii="Times New Roman" w:hAnsi="Times New Roman" w:cs="Times New Roman"/>
          <w:sz w:val="24"/>
          <w:szCs w:val="24"/>
        </w:rPr>
        <w:fldChar w:fldCharType="end"/>
      </w:r>
      <w:r w:rsidR="00CE5A47" w:rsidRPr="000A03F1">
        <w:rPr>
          <w:rFonts w:ascii="Times New Roman" w:hAnsi="Times New Roman" w:cs="Times New Roman"/>
          <w:sz w:val="24"/>
          <w:szCs w:val="24"/>
        </w:rPr>
        <w:t>, and impacts severe disease, we made the adaptation that incorporated ADE as a probability of developing severe disease from infection, rather than infectivity and transmissibility in contrast to the original model. Second, the modified model was simplified to consider two infections instead of four</w:t>
      </w:r>
      <w:r w:rsidRPr="000A03F1">
        <w:rPr>
          <w:rFonts w:ascii="Times New Roman" w:hAnsi="Times New Roman" w:cs="Times New Roman"/>
          <w:sz w:val="24"/>
          <w:szCs w:val="24"/>
        </w:rPr>
        <w:t xml:space="preserve">, since it was believed to be generally mild as post-secondary infections rarely resulted in severe dengue </w:t>
      </w: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{"citationID":"QvHf22Co","properties":{"formattedCitation":"(37)","plainCitation":"(37)","noteIndex":0},"citationItems":[{"id":589,"uris":["http://zotero.org/users/10607232/items/FTPVZRDQ"],"itemData":{"id":589,"type":"article-journal","abstract":"Immunity to a single dengue virus (DENV) infection does not provide heterologous immunity to subsequent infection. In fact, the greatest risk for dengue hemorrhagic fever (DHF) is with a second DENV serotype exposure. The risk for DHF with a third or fourth dengue infection relative to a first or second exposure is not known. An analysis of our database of children admitted to the Queen Sirikit National Institute of Child Health and Kamphaeng Phet Provincial Hospital with suspected dengue illness revealed that the number of dengue admissions caused by a third or fourth DENV infection was extremely low (0.08–0.8%). Once admitted, the risk for DHF relative to dengue fever was not different for those experiencing third or fourth DENV infections over those experiencing a second DENV infection. We document new dengue serotype infection sequences leading to DHF of 1-4, 2-3, 3-1, and 3-4.","container-title":"The American Journal of Tropical Medicine and Hygiene","DOI":"10.4269/ajtmh.2007.77.910","ISSN":"0002-9637, 1476-1645","issue":"5","language":"en","page":"910-913","source":"DOI.org (Crossref)","title":"Analysis of Repeat Hospital Admissions for Dengue to Estimate the Frequency of Third or Fourth Dengue Infections Resulting in Admissions and Dengue Hemorrhagic Fever, and Serotype Sequences","volume":"77","author":[{"family":"Endy","given":"Timothy P."},{"family":"Srikiatkhachorn","given":"Anon"},{"family":"Jarman","given":"Richard G."},{"family":"Mammen","given":"Mammen P."},{"family":"Vaughn","given":"David W."},{"family":"Kalanarooj","given":"Siripen"},{"family":"Nisalak","given":"Ananda"},{"family":"Gibbons","given":"Robert V."}],"issued":{"date-parts":[["2007",11,1]]}}}],"schema":"https://github.com/citation-style-language/schema/raw/master/csl-citation.json"}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(37)</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w:t>
      </w:r>
      <w:r w:rsidR="00CE5A47" w:rsidRPr="000A03F1">
        <w:rPr>
          <w:rFonts w:ascii="Times New Roman" w:hAnsi="Times New Roman" w:cs="Times New Roman"/>
          <w:sz w:val="24"/>
          <w:szCs w:val="24"/>
        </w:rPr>
        <w:t xml:space="preserve"> DHF was calculated as a proportion of </w:t>
      </w:r>
      <w:r w:rsidR="00D82ABA" w:rsidRPr="000A03F1">
        <w:rPr>
          <w:rFonts w:ascii="Times New Roman" w:hAnsi="Times New Roman" w:cs="Times New Roman"/>
          <w:sz w:val="24"/>
          <w:szCs w:val="24"/>
        </w:rPr>
        <w:t>infection</w:t>
      </w:r>
      <w:r w:rsidR="00CE5A47" w:rsidRPr="000A03F1">
        <w:rPr>
          <w:rFonts w:ascii="Times New Roman" w:hAnsi="Times New Roman" w:cs="Times New Roman"/>
          <w:sz w:val="24"/>
          <w:szCs w:val="24"/>
        </w:rPr>
        <w:t xml:space="preserve"> and the probability of developing DHF from primary and secondary infections.</w:t>
      </w:r>
    </w:p>
    <w:p w14:paraId="360551B1" w14:textId="7B0D2D96" w:rsidR="00CE5A47" w:rsidRPr="000A03F1" w:rsidRDefault="00E231D1" w:rsidP="00741A05">
      <w:pPr>
        <w:spacing w:line="480" w:lineRule="auto"/>
        <w:contextualSpacing/>
        <w:jc w:val="both"/>
        <w:rPr>
          <w:rFonts w:ascii="Times New Roman" w:hAnsi="Times New Roman" w:cs="Times New Roman"/>
          <w:b/>
          <w:sz w:val="24"/>
          <w:szCs w:val="24"/>
        </w:rPr>
      </w:pPr>
      <w:r w:rsidRPr="000A03F1">
        <w:rPr>
          <w:rFonts w:ascii="Times New Roman" w:hAnsi="Times New Roman" w:cs="Times New Roman"/>
          <w:b/>
          <w:sz w:val="24"/>
          <w:szCs w:val="24"/>
        </w:rPr>
        <w:lastRenderedPageBreak/>
        <w:t xml:space="preserve">2.2. </w:t>
      </w:r>
      <w:r w:rsidR="006770FB" w:rsidRPr="000A03F1">
        <w:rPr>
          <w:rFonts w:ascii="Times New Roman" w:hAnsi="Times New Roman" w:cs="Times New Roman"/>
          <w:b/>
          <w:sz w:val="24"/>
          <w:szCs w:val="24"/>
        </w:rPr>
        <w:t>Modelling vaccination and screening</w:t>
      </w:r>
    </w:p>
    <w:p w14:paraId="4696CF09" w14:textId="06B7FA60" w:rsidR="00360ADC" w:rsidRPr="000A03F1" w:rsidRDefault="00D25B52" w:rsidP="00360ADC">
      <w:pPr>
        <w:spacing w:line="480" w:lineRule="auto"/>
        <w:contextualSpacing/>
        <w:jc w:val="center"/>
        <w:rPr>
          <w:rFonts w:ascii="Times New Roman" w:hAnsi="Times New Roman" w:cs="Times New Roman"/>
          <w:b/>
          <w:sz w:val="24"/>
          <w:szCs w:val="24"/>
        </w:rPr>
      </w:pPr>
      <w:r w:rsidRPr="000A03F1">
        <w:rPr>
          <w:rFonts w:ascii="Times New Roman" w:hAnsi="Times New Roman" w:cs="Times New Roman"/>
          <w:bCs/>
          <w:noProof/>
          <w:sz w:val="20"/>
          <w:szCs w:val="20"/>
        </w:rPr>
        <w:drawing>
          <wp:inline distT="0" distB="0" distL="0" distR="0" wp14:anchorId="130C5C29" wp14:editId="5C3849EA">
            <wp:extent cx="5400000" cy="3573259"/>
            <wp:effectExtent l="0" t="0" r="0" b="0"/>
            <wp:docPr id="1956711457" name="Picture 10" descr="A screenshot of a black background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1457" name="Picture 10" descr="A screenshot of a black background with different colored circl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3573259"/>
                    </a:xfrm>
                    <a:prstGeom prst="rect">
                      <a:avLst/>
                    </a:prstGeom>
                    <a:noFill/>
                  </pic:spPr>
                </pic:pic>
              </a:graphicData>
            </a:graphic>
          </wp:inline>
        </w:drawing>
      </w:r>
    </w:p>
    <w:p w14:paraId="22917971" w14:textId="0D88F536" w:rsidR="00360ADC" w:rsidRPr="000A03F1" w:rsidRDefault="00360ADC" w:rsidP="00360ADC">
      <w:pPr>
        <w:spacing w:line="480" w:lineRule="auto"/>
        <w:contextualSpacing/>
        <w:jc w:val="both"/>
        <w:rPr>
          <w:rFonts w:ascii="Times New Roman" w:hAnsi="Times New Roman" w:cs="Times New Roman"/>
          <w:bCs/>
          <w:sz w:val="20"/>
          <w:szCs w:val="20"/>
        </w:rPr>
      </w:pPr>
      <w:r w:rsidRPr="000A03F1">
        <w:rPr>
          <w:rFonts w:ascii="Times New Roman" w:hAnsi="Times New Roman" w:cs="Times New Roman"/>
          <w:b/>
          <w:sz w:val="20"/>
          <w:szCs w:val="20"/>
        </w:rPr>
        <w:t>Figure 1.</w:t>
      </w:r>
      <w:r w:rsidRPr="000A03F1">
        <w:rPr>
          <w:rFonts w:ascii="Times New Roman" w:hAnsi="Times New Roman" w:cs="Times New Roman"/>
          <w:bCs/>
          <w:sz w:val="20"/>
          <w:szCs w:val="20"/>
        </w:rPr>
        <w:t xml:space="preserve"> The diagrammatic illustration of dengue transmission and mechanism of dengue vaccination on the transmission.</w:t>
      </w:r>
      <w:r w:rsidR="00867390" w:rsidRPr="000A03F1">
        <w:rPr>
          <w:rFonts w:ascii="Times New Roman" w:hAnsi="Times New Roman" w:cs="Times New Roman"/>
          <w:bCs/>
          <w:sz w:val="20"/>
          <w:szCs w:val="20"/>
        </w:rPr>
        <w:t xml:space="preserve"> The colour</w:t>
      </w:r>
      <w:r w:rsidR="00AD3370" w:rsidRPr="000A03F1">
        <w:rPr>
          <w:rFonts w:ascii="Times New Roman" w:hAnsi="Times New Roman" w:cs="Times New Roman"/>
          <w:bCs/>
          <w:sz w:val="20"/>
          <w:szCs w:val="20"/>
        </w:rPr>
        <w:t>-coded boxes in</w:t>
      </w:r>
      <w:r w:rsidR="00867390" w:rsidRPr="000A03F1">
        <w:rPr>
          <w:rFonts w:ascii="Times New Roman" w:hAnsi="Times New Roman" w:cs="Times New Roman"/>
          <w:bCs/>
          <w:sz w:val="20"/>
          <w:szCs w:val="20"/>
        </w:rPr>
        <w:t xml:space="preserve"> green, yellow, and red represent the low-risk, moderate-risk, and high-risk of developing severe dengue or DHF, respectively. In the absence of vaccination (top row), the disease transmitted by mosquito to the dengue naïve individuals will result in the first infection, where the risk of developing DHF is moderate. In the subsequent infection, the risk of developing DHF is high, then becomes low in post-secondary infection. Vaccination to people with the history of dengue infection can lower the risk of DHF (mid row), while vaccination to dengue-naïve people </w:t>
      </w:r>
      <w:r w:rsidR="0034466D" w:rsidRPr="000A03F1">
        <w:rPr>
          <w:rFonts w:ascii="Times New Roman" w:hAnsi="Times New Roman" w:cs="Times New Roman"/>
          <w:bCs/>
          <w:sz w:val="20"/>
          <w:szCs w:val="20"/>
        </w:rPr>
        <w:t>(bottom row) was thought to</w:t>
      </w:r>
      <w:r w:rsidR="00867390" w:rsidRPr="000A03F1">
        <w:rPr>
          <w:rFonts w:ascii="Times New Roman" w:hAnsi="Times New Roman" w:cs="Times New Roman"/>
          <w:bCs/>
          <w:sz w:val="20"/>
          <w:szCs w:val="20"/>
        </w:rPr>
        <w:t xml:space="preserve"> enhance the risk of DHF upon the first infection.</w:t>
      </w:r>
    </w:p>
    <w:p w14:paraId="75E6F6EB" w14:textId="77777777" w:rsidR="00A42AD2" w:rsidRPr="000A03F1" w:rsidRDefault="00A42AD2" w:rsidP="00360ADC">
      <w:pPr>
        <w:spacing w:line="480" w:lineRule="auto"/>
        <w:ind w:firstLine="720"/>
        <w:contextualSpacing/>
        <w:jc w:val="both"/>
        <w:rPr>
          <w:rFonts w:ascii="Times New Roman" w:hAnsi="Times New Roman" w:cs="Times New Roman"/>
          <w:bCs/>
          <w:sz w:val="24"/>
          <w:szCs w:val="24"/>
        </w:rPr>
      </w:pPr>
    </w:p>
    <w:p w14:paraId="303B1CA7" w14:textId="59983C1C" w:rsidR="00360ADC" w:rsidRPr="000A03F1" w:rsidRDefault="00360ADC" w:rsidP="003211BF">
      <w:pPr>
        <w:spacing w:line="480" w:lineRule="auto"/>
        <w:contextualSpacing/>
        <w:jc w:val="both"/>
        <w:rPr>
          <w:rFonts w:ascii="Times New Roman" w:hAnsi="Times New Roman" w:cs="Times New Roman"/>
          <w:bCs/>
          <w:sz w:val="24"/>
          <w:szCs w:val="24"/>
        </w:rPr>
      </w:pPr>
      <w:r w:rsidRPr="000A03F1">
        <w:rPr>
          <w:rFonts w:ascii="Times New Roman" w:hAnsi="Times New Roman" w:cs="Times New Roman"/>
          <w:bCs/>
          <w:sz w:val="24"/>
          <w:szCs w:val="24"/>
        </w:rPr>
        <w:t>The probability of developing DHF is the highest at the secondary infection. Dengue vaccines were thought to reduce this risk on people with the history of previous dengue infection. However, in dengue naïve people, dengue vaccines were thought to increase the risk of developing DHF as it causes secondary-like infection upon the first infection of dengue</w:t>
      </w:r>
      <w:r w:rsidR="00D335EE" w:rsidRPr="000A03F1">
        <w:rPr>
          <w:rFonts w:ascii="Times New Roman" w:hAnsi="Times New Roman" w:cs="Times New Roman"/>
          <w:bCs/>
          <w:sz w:val="24"/>
          <w:szCs w:val="24"/>
        </w:rPr>
        <w:t xml:space="preserve"> (</w:t>
      </w:r>
      <w:r w:rsidR="00D335EE" w:rsidRPr="000A03F1">
        <w:rPr>
          <w:rFonts w:ascii="Times New Roman" w:hAnsi="Times New Roman" w:cs="Times New Roman"/>
          <w:b/>
          <w:sz w:val="24"/>
          <w:szCs w:val="24"/>
        </w:rPr>
        <w:t>fig. 1</w:t>
      </w:r>
      <w:r w:rsidR="00D335EE" w:rsidRPr="000A03F1">
        <w:rPr>
          <w:rFonts w:ascii="Times New Roman" w:hAnsi="Times New Roman" w:cs="Times New Roman"/>
          <w:bCs/>
          <w:sz w:val="24"/>
          <w:szCs w:val="24"/>
        </w:rPr>
        <w:t>)</w:t>
      </w:r>
      <w:r w:rsidRPr="000A03F1">
        <w:rPr>
          <w:rFonts w:ascii="Times New Roman" w:hAnsi="Times New Roman" w:cs="Times New Roman"/>
          <w:bCs/>
          <w:sz w:val="24"/>
          <w:szCs w:val="24"/>
        </w:rPr>
        <w:t xml:space="preserve">. Therefore, the </w:t>
      </w:r>
      <w:r w:rsidRPr="000A03F1">
        <w:rPr>
          <w:rFonts w:ascii="Times New Roman" w:hAnsi="Times New Roman" w:cs="Times New Roman"/>
          <w:bCs/>
          <w:sz w:val="24"/>
          <w:szCs w:val="24"/>
        </w:rPr>
        <w:lastRenderedPageBreak/>
        <w:t>objective of pre-vaccination screening implementation is to minimise the vaccine allocation to dengue naïve individuals.</w:t>
      </w:r>
    </w:p>
    <w:p w14:paraId="4A98041F" w14:textId="425F2C6C" w:rsidR="00CE5A47" w:rsidRPr="000A03F1" w:rsidRDefault="00CE5A47" w:rsidP="00CD758B">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Vaccination was modelled by extending the disease model based on the number of available vaccines, i.e., TAK-003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and CYD-TDV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Vaccine efficacy parameters of each vaccine against symptomatic disease, which were further sub-grouped based on the serostatus and DENV serotype, were summarised in Table 1.</w:t>
      </w:r>
      <w:r w:rsidR="00215545" w:rsidRPr="000A03F1">
        <w:rPr>
          <w:rFonts w:ascii="Times New Roman" w:hAnsi="Times New Roman" w:cs="Times New Roman"/>
          <w:sz w:val="24"/>
          <w:szCs w:val="24"/>
        </w:rPr>
        <w:t xml:space="preserve"> We applied serotype-specific VE data as well as the serostatus of the vaccinees into the model.</w:t>
      </w:r>
      <w:r w:rsidRPr="000A03F1">
        <w:rPr>
          <w:rFonts w:ascii="Times New Roman" w:hAnsi="Times New Roman" w:cs="Times New Roman"/>
          <w:sz w:val="24"/>
          <w:szCs w:val="24"/>
        </w:rPr>
        <w:t xml:space="preserve"> </w:t>
      </w:r>
      <w:r w:rsidR="00620518" w:rsidRPr="000A03F1">
        <w:rPr>
          <w:rFonts w:ascii="Times New Roman" w:hAnsi="Times New Roman" w:cs="Times New Roman"/>
          <w:sz w:val="24"/>
          <w:szCs w:val="24"/>
        </w:rPr>
        <w:t>The model</w:t>
      </w:r>
      <w:r w:rsidRPr="000A03F1">
        <w:rPr>
          <w:rFonts w:ascii="Times New Roman" w:hAnsi="Times New Roman" w:cs="Times New Roman"/>
          <w:sz w:val="24"/>
          <w:szCs w:val="24"/>
        </w:rPr>
        <w:t xml:space="preserve"> </w:t>
      </w:r>
      <w:r w:rsidR="004266ED">
        <w:rPr>
          <w:rFonts w:ascii="Times New Roman" w:hAnsi="Times New Roman" w:cs="Times New Roman"/>
          <w:sz w:val="24"/>
          <w:szCs w:val="24"/>
        </w:rPr>
        <w:t>is</w:t>
      </w:r>
      <w:r w:rsidRPr="000A03F1">
        <w:rPr>
          <w:rFonts w:ascii="Times New Roman" w:hAnsi="Times New Roman" w:cs="Times New Roman"/>
          <w:sz w:val="24"/>
          <w:szCs w:val="24"/>
        </w:rPr>
        <w:t xml:space="preserve"> described in more detail in the Appendix</w:t>
      </w:r>
      <w:r w:rsidR="004202C1" w:rsidRPr="000A03F1">
        <w:rPr>
          <w:rFonts w:ascii="Times New Roman" w:hAnsi="Times New Roman" w:cs="Times New Roman"/>
          <w:sz w:val="24"/>
          <w:szCs w:val="24"/>
        </w:rPr>
        <w:t xml:space="preserve"> S1</w:t>
      </w:r>
      <w:r w:rsidRPr="000A03F1">
        <w:rPr>
          <w:rFonts w:ascii="Times New Roman" w:hAnsi="Times New Roman" w:cs="Times New Roman"/>
          <w:sz w:val="24"/>
          <w:szCs w:val="24"/>
        </w:rPr>
        <w:t>.</w:t>
      </w:r>
    </w:p>
    <w:p w14:paraId="61D9C842" w14:textId="77777777" w:rsidR="00CD758B" w:rsidRPr="000A03F1" w:rsidRDefault="00CD758B" w:rsidP="00CD758B">
      <w:pPr>
        <w:spacing w:line="480" w:lineRule="auto"/>
        <w:ind w:firstLine="720"/>
        <w:contextualSpacing/>
        <w:jc w:val="both"/>
        <w:rPr>
          <w:rFonts w:ascii="Times New Roman" w:hAnsi="Times New Roman" w:cs="Times New Roman"/>
          <w:b/>
          <w:bCs/>
          <w:sz w:val="24"/>
          <w:szCs w:val="24"/>
        </w:rPr>
      </w:pPr>
    </w:p>
    <w:p w14:paraId="44E30708" w14:textId="2694B116" w:rsidR="00CE5A47" w:rsidRPr="000A03F1" w:rsidRDefault="00CE5A47" w:rsidP="00FF79AE">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bCs/>
          <w:sz w:val="20"/>
          <w:szCs w:val="20"/>
        </w:rPr>
        <w:t>Table 1</w:t>
      </w:r>
      <w:r w:rsidRPr="000A03F1">
        <w:rPr>
          <w:rFonts w:ascii="Times New Roman" w:hAnsi="Times New Roman" w:cs="Times New Roman"/>
          <w:sz w:val="20"/>
          <w:szCs w:val="20"/>
        </w:rPr>
        <w:t xml:space="preserve">. Vaccine Efficacy of </w:t>
      </w: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and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vaccines, stratified by the serostatus of the </w:t>
      </w:r>
      <w:r w:rsidR="006B26BE" w:rsidRPr="000A03F1">
        <w:rPr>
          <w:rFonts w:ascii="Times New Roman" w:hAnsi="Times New Roman" w:cs="Times New Roman"/>
          <w:sz w:val="20"/>
          <w:szCs w:val="20"/>
        </w:rPr>
        <w:t>recipients</w:t>
      </w:r>
      <w:r w:rsidRPr="000A03F1">
        <w:rPr>
          <w:rFonts w:ascii="Times New Roman" w:hAnsi="Times New Roman" w:cs="Times New Roman"/>
          <w:sz w:val="20"/>
          <w:szCs w:val="20"/>
        </w:rPr>
        <w:t xml:space="preserve"> and the infecting DENV serotype.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852"/>
        <w:gridCol w:w="1918"/>
        <w:gridCol w:w="2490"/>
      </w:tblGrid>
      <w:tr w:rsidR="00CE5A47" w:rsidRPr="000A03F1" w14:paraId="5DF160EE" w14:textId="77777777" w:rsidTr="00CE3CE5">
        <w:tc>
          <w:tcPr>
            <w:tcW w:w="2100" w:type="dxa"/>
            <w:shd w:val="clear" w:color="auto" w:fill="auto"/>
            <w:tcMar>
              <w:top w:w="100" w:type="dxa"/>
              <w:left w:w="100" w:type="dxa"/>
              <w:bottom w:w="100" w:type="dxa"/>
              <w:right w:w="100" w:type="dxa"/>
            </w:tcMar>
          </w:tcPr>
          <w:p w14:paraId="54919BB7" w14:textId="77777777" w:rsidR="00CE5A47" w:rsidRPr="000A03F1" w:rsidRDefault="00CE5A47" w:rsidP="00741A05">
            <w:pPr>
              <w:widowControl w:val="0"/>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Vaccine type, serostatus, and serotype</w:t>
            </w:r>
          </w:p>
        </w:tc>
        <w:tc>
          <w:tcPr>
            <w:tcW w:w="2852" w:type="dxa"/>
            <w:shd w:val="clear" w:color="auto" w:fill="auto"/>
            <w:tcMar>
              <w:top w:w="100" w:type="dxa"/>
              <w:left w:w="100" w:type="dxa"/>
              <w:bottom w:w="100" w:type="dxa"/>
              <w:right w:w="100" w:type="dxa"/>
            </w:tcMar>
          </w:tcPr>
          <w:p w14:paraId="710FA534" w14:textId="77777777" w:rsidR="00CE5A47" w:rsidRPr="000A03F1" w:rsidRDefault="00CE5A47" w:rsidP="00741A05">
            <w:pPr>
              <w:widowControl w:val="0"/>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Vaccine Efficacy (95% Confidence Interval)</w:t>
            </w:r>
          </w:p>
        </w:tc>
        <w:tc>
          <w:tcPr>
            <w:tcW w:w="1918" w:type="dxa"/>
            <w:shd w:val="clear" w:color="auto" w:fill="auto"/>
            <w:tcMar>
              <w:top w:w="100" w:type="dxa"/>
              <w:left w:w="100" w:type="dxa"/>
              <w:bottom w:w="100" w:type="dxa"/>
              <w:right w:w="100" w:type="dxa"/>
            </w:tcMar>
          </w:tcPr>
          <w:p w14:paraId="0041A10C" w14:textId="77777777" w:rsidR="00CE5A47" w:rsidRPr="000A03F1" w:rsidRDefault="00CE5A47" w:rsidP="00741A05">
            <w:pPr>
              <w:widowControl w:val="0"/>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Vaccine type, serostatus, and serotype</w:t>
            </w:r>
          </w:p>
        </w:tc>
        <w:tc>
          <w:tcPr>
            <w:tcW w:w="2490" w:type="dxa"/>
            <w:shd w:val="clear" w:color="auto" w:fill="auto"/>
            <w:tcMar>
              <w:top w:w="100" w:type="dxa"/>
              <w:left w:w="100" w:type="dxa"/>
              <w:bottom w:w="100" w:type="dxa"/>
              <w:right w:w="100" w:type="dxa"/>
            </w:tcMar>
          </w:tcPr>
          <w:p w14:paraId="70CC0539" w14:textId="77777777" w:rsidR="00CE5A47" w:rsidRPr="000A03F1" w:rsidRDefault="00CE5A47" w:rsidP="00741A05">
            <w:pPr>
              <w:widowControl w:val="0"/>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Vaccine Efficacy (95% Confidence Interval)</w:t>
            </w:r>
          </w:p>
        </w:tc>
      </w:tr>
      <w:tr w:rsidR="00CE5A47" w:rsidRPr="000A03F1" w14:paraId="7A8577BE" w14:textId="77777777" w:rsidTr="00CE3CE5">
        <w:trPr>
          <w:trHeight w:val="420"/>
        </w:trPr>
        <w:tc>
          <w:tcPr>
            <w:tcW w:w="4952" w:type="dxa"/>
            <w:gridSpan w:val="2"/>
            <w:shd w:val="clear" w:color="auto" w:fill="auto"/>
            <w:tcMar>
              <w:top w:w="100" w:type="dxa"/>
              <w:left w:w="100" w:type="dxa"/>
              <w:bottom w:w="100" w:type="dxa"/>
              <w:right w:w="100" w:type="dxa"/>
            </w:tcMar>
          </w:tcPr>
          <w:p w14:paraId="1020710A" w14:textId="77777777" w:rsidR="00CE5A47" w:rsidRPr="000A03F1" w:rsidRDefault="00CE5A47" w:rsidP="00741A05">
            <w:pPr>
              <w:widowControl w:val="0"/>
              <w:spacing w:line="240" w:lineRule="auto"/>
              <w:contextualSpacing/>
              <w:rPr>
                <w:rFonts w:ascii="Times New Roman" w:hAnsi="Times New Roman" w:cs="Times New Roman"/>
                <w:b/>
                <w:sz w:val="20"/>
                <w:szCs w:val="20"/>
              </w:rPr>
            </w:pPr>
            <w:proofErr w:type="spellStart"/>
            <w:r w:rsidRPr="000A03F1">
              <w:rPr>
                <w:rFonts w:ascii="Times New Roman" w:hAnsi="Times New Roman" w:cs="Times New Roman"/>
                <w:b/>
                <w:sz w:val="20"/>
                <w:szCs w:val="20"/>
              </w:rPr>
              <w:t>Qdenga</w:t>
            </w:r>
            <w:proofErr w:type="spellEnd"/>
          </w:p>
        </w:tc>
        <w:tc>
          <w:tcPr>
            <w:tcW w:w="4408" w:type="dxa"/>
            <w:gridSpan w:val="2"/>
            <w:shd w:val="clear" w:color="auto" w:fill="auto"/>
            <w:tcMar>
              <w:top w:w="100" w:type="dxa"/>
              <w:left w:w="100" w:type="dxa"/>
              <w:bottom w:w="100" w:type="dxa"/>
              <w:right w:w="100" w:type="dxa"/>
            </w:tcMar>
          </w:tcPr>
          <w:p w14:paraId="479D59A9" w14:textId="77777777" w:rsidR="00CE5A47" w:rsidRPr="000A03F1" w:rsidRDefault="00CE5A47" w:rsidP="00741A05">
            <w:pPr>
              <w:widowControl w:val="0"/>
              <w:spacing w:line="240" w:lineRule="auto"/>
              <w:contextualSpacing/>
              <w:rPr>
                <w:rFonts w:ascii="Times New Roman" w:hAnsi="Times New Roman" w:cs="Times New Roman"/>
                <w:b/>
                <w:sz w:val="20"/>
                <w:szCs w:val="20"/>
              </w:rPr>
            </w:pPr>
            <w:proofErr w:type="spellStart"/>
            <w:r w:rsidRPr="000A03F1">
              <w:rPr>
                <w:rFonts w:ascii="Times New Roman" w:hAnsi="Times New Roman" w:cs="Times New Roman"/>
                <w:b/>
                <w:sz w:val="20"/>
                <w:szCs w:val="20"/>
              </w:rPr>
              <w:t>Dengvaxia</w:t>
            </w:r>
            <w:proofErr w:type="spellEnd"/>
          </w:p>
        </w:tc>
      </w:tr>
      <w:tr w:rsidR="00CE5A47" w:rsidRPr="000A03F1" w14:paraId="62458A33" w14:textId="77777777" w:rsidTr="00CE3CE5">
        <w:trPr>
          <w:trHeight w:val="420"/>
        </w:trPr>
        <w:tc>
          <w:tcPr>
            <w:tcW w:w="4952" w:type="dxa"/>
            <w:gridSpan w:val="2"/>
            <w:shd w:val="clear" w:color="auto" w:fill="auto"/>
            <w:tcMar>
              <w:top w:w="100" w:type="dxa"/>
              <w:left w:w="100" w:type="dxa"/>
              <w:bottom w:w="100" w:type="dxa"/>
              <w:right w:w="100" w:type="dxa"/>
            </w:tcMar>
          </w:tcPr>
          <w:p w14:paraId="6D4F9B92" w14:textId="77777777" w:rsidR="00CE5A47" w:rsidRPr="000A03F1" w:rsidRDefault="00CE5A47" w:rsidP="00741A05">
            <w:pPr>
              <w:widowControl w:val="0"/>
              <w:spacing w:line="240" w:lineRule="auto"/>
              <w:contextualSpacing/>
              <w:rPr>
                <w:rFonts w:ascii="Times New Roman" w:hAnsi="Times New Roman" w:cs="Times New Roman"/>
                <w:b/>
                <w:sz w:val="20"/>
                <w:szCs w:val="20"/>
              </w:rPr>
            </w:pPr>
            <w:r w:rsidRPr="000A03F1">
              <w:rPr>
                <w:rFonts w:ascii="Times New Roman" w:hAnsi="Times New Roman" w:cs="Times New Roman"/>
                <w:b/>
                <w:sz w:val="20"/>
                <w:szCs w:val="20"/>
              </w:rPr>
              <w:t>Seronegative</w:t>
            </w:r>
          </w:p>
        </w:tc>
        <w:tc>
          <w:tcPr>
            <w:tcW w:w="4408" w:type="dxa"/>
            <w:gridSpan w:val="2"/>
            <w:shd w:val="clear" w:color="auto" w:fill="auto"/>
            <w:tcMar>
              <w:top w:w="100" w:type="dxa"/>
              <w:left w:w="100" w:type="dxa"/>
              <w:bottom w:w="100" w:type="dxa"/>
              <w:right w:w="100" w:type="dxa"/>
            </w:tcMar>
          </w:tcPr>
          <w:p w14:paraId="22103171" w14:textId="77777777" w:rsidR="00CE5A47" w:rsidRPr="000A03F1" w:rsidRDefault="00CE5A47" w:rsidP="00741A05">
            <w:pPr>
              <w:widowControl w:val="0"/>
              <w:spacing w:line="240" w:lineRule="auto"/>
              <w:contextualSpacing/>
              <w:rPr>
                <w:rFonts w:ascii="Times New Roman" w:hAnsi="Times New Roman" w:cs="Times New Roman"/>
                <w:b/>
                <w:sz w:val="20"/>
                <w:szCs w:val="20"/>
              </w:rPr>
            </w:pPr>
            <w:r w:rsidRPr="000A03F1">
              <w:rPr>
                <w:rFonts w:ascii="Times New Roman" w:hAnsi="Times New Roman" w:cs="Times New Roman"/>
                <w:b/>
                <w:sz w:val="20"/>
                <w:szCs w:val="20"/>
              </w:rPr>
              <w:t>Seronegative</w:t>
            </w:r>
          </w:p>
        </w:tc>
      </w:tr>
      <w:tr w:rsidR="00CE5A47" w:rsidRPr="000A03F1" w14:paraId="188263AE" w14:textId="77777777" w:rsidTr="00CE3CE5">
        <w:tc>
          <w:tcPr>
            <w:tcW w:w="2100" w:type="dxa"/>
            <w:shd w:val="clear" w:color="auto" w:fill="auto"/>
            <w:tcMar>
              <w:top w:w="100" w:type="dxa"/>
              <w:left w:w="100" w:type="dxa"/>
              <w:bottom w:w="100" w:type="dxa"/>
              <w:right w:w="100" w:type="dxa"/>
            </w:tcMar>
          </w:tcPr>
          <w:p w14:paraId="20D3B1AD"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DENV-1</w:t>
            </w:r>
          </w:p>
        </w:tc>
        <w:tc>
          <w:tcPr>
            <w:tcW w:w="2852" w:type="dxa"/>
            <w:shd w:val="clear" w:color="auto" w:fill="auto"/>
            <w:tcMar>
              <w:top w:w="100" w:type="dxa"/>
              <w:left w:w="100" w:type="dxa"/>
              <w:bottom w:w="100" w:type="dxa"/>
              <w:right w:w="100" w:type="dxa"/>
            </w:tcMar>
          </w:tcPr>
          <w:p w14:paraId="745409F1"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43.5% (21.5% to 59.3%)</w:t>
            </w:r>
          </w:p>
        </w:tc>
        <w:tc>
          <w:tcPr>
            <w:tcW w:w="1918" w:type="dxa"/>
            <w:shd w:val="clear" w:color="auto" w:fill="auto"/>
            <w:tcMar>
              <w:top w:w="100" w:type="dxa"/>
              <w:left w:w="100" w:type="dxa"/>
              <w:bottom w:w="100" w:type="dxa"/>
              <w:right w:w="100" w:type="dxa"/>
            </w:tcMar>
          </w:tcPr>
          <w:p w14:paraId="570E696C"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DENV-1</w:t>
            </w:r>
          </w:p>
        </w:tc>
        <w:tc>
          <w:tcPr>
            <w:tcW w:w="2490" w:type="dxa"/>
            <w:shd w:val="clear" w:color="auto" w:fill="auto"/>
            <w:tcMar>
              <w:top w:w="100" w:type="dxa"/>
              <w:left w:w="100" w:type="dxa"/>
              <w:bottom w:w="100" w:type="dxa"/>
              <w:right w:w="100" w:type="dxa"/>
            </w:tcMar>
          </w:tcPr>
          <w:p w14:paraId="5EEF2C46"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45% (22% to 64%)</w:t>
            </w:r>
          </w:p>
        </w:tc>
      </w:tr>
      <w:tr w:rsidR="00CE5A47" w:rsidRPr="000A03F1" w14:paraId="508AF465" w14:textId="77777777" w:rsidTr="00CE3CE5">
        <w:tc>
          <w:tcPr>
            <w:tcW w:w="2100" w:type="dxa"/>
            <w:shd w:val="clear" w:color="auto" w:fill="auto"/>
            <w:tcMar>
              <w:top w:w="100" w:type="dxa"/>
              <w:left w:w="100" w:type="dxa"/>
              <w:bottom w:w="100" w:type="dxa"/>
              <w:right w:w="100" w:type="dxa"/>
            </w:tcMar>
          </w:tcPr>
          <w:p w14:paraId="5D36D36A"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DENV-2</w:t>
            </w:r>
          </w:p>
        </w:tc>
        <w:tc>
          <w:tcPr>
            <w:tcW w:w="2852" w:type="dxa"/>
            <w:shd w:val="clear" w:color="auto" w:fill="auto"/>
            <w:tcMar>
              <w:top w:w="100" w:type="dxa"/>
              <w:left w:w="100" w:type="dxa"/>
              <w:bottom w:w="100" w:type="dxa"/>
              <w:right w:w="100" w:type="dxa"/>
            </w:tcMar>
          </w:tcPr>
          <w:p w14:paraId="1B59751B"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91.9%% (83.6% to 96%)</w:t>
            </w:r>
          </w:p>
        </w:tc>
        <w:tc>
          <w:tcPr>
            <w:tcW w:w="1918" w:type="dxa"/>
            <w:shd w:val="clear" w:color="auto" w:fill="auto"/>
            <w:tcMar>
              <w:top w:w="100" w:type="dxa"/>
              <w:left w:w="100" w:type="dxa"/>
              <w:bottom w:w="100" w:type="dxa"/>
              <w:right w:w="100" w:type="dxa"/>
            </w:tcMar>
          </w:tcPr>
          <w:p w14:paraId="51EE605A"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DENV-2</w:t>
            </w:r>
          </w:p>
        </w:tc>
        <w:tc>
          <w:tcPr>
            <w:tcW w:w="2490" w:type="dxa"/>
            <w:shd w:val="clear" w:color="auto" w:fill="auto"/>
            <w:tcMar>
              <w:top w:w="100" w:type="dxa"/>
              <w:left w:w="100" w:type="dxa"/>
              <w:bottom w:w="100" w:type="dxa"/>
              <w:right w:w="100" w:type="dxa"/>
            </w:tcMar>
          </w:tcPr>
          <w:p w14:paraId="40F34AD7"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-8% (-70% to 38%)</w:t>
            </w:r>
          </w:p>
        </w:tc>
      </w:tr>
      <w:tr w:rsidR="00CE5A47" w:rsidRPr="000A03F1" w14:paraId="5A505F51" w14:textId="77777777" w:rsidTr="00CE3CE5">
        <w:tc>
          <w:tcPr>
            <w:tcW w:w="2100" w:type="dxa"/>
            <w:shd w:val="clear" w:color="auto" w:fill="auto"/>
            <w:tcMar>
              <w:top w:w="100" w:type="dxa"/>
              <w:left w:w="100" w:type="dxa"/>
              <w:bottom w:w="100" w:type="dxa"/>
              <w:right w:w="100" w:type="dxa"/>
            </w:tcMar>
          </w:tcPr>
          <w:p w14:paraId="7DCE9BCE"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DENV-3</w:t>
            </w:r>
          </w:p>
        </w:tc>
        <w:tc>
          <w:tcPr>
            <w:tcW w:w="2852" w:type="dxa"/>
            <w:shd w:val="clear" w:color="auto" w:fill="auto"/>
            <w:tcMar>
              <w:top w:w="100" w:type="dxa"/>
              <w:left w:w="100" w:type="dxa"/>
              <w:bottom w:w="100" w:type="dxa"/>
              <w:right w:w="100" w:type="dxa"/>
            </w:tcMar>
          </w:tcPr>
          <w:p w14:paraId="7A3C3B39"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-23.4% (-125.3% to 32.4%)</w:t>
            </w:r>
          </w:p>
        </w:tc>
        <w:tc>
          <w:tcPr>
            <w:tcW w:w="1918" w:type="dxa"/>
            <w:shd w:val="clear" w:color="auto" w:fill="auto"/>
            <w:tcMar>
              <w:top w:w="100" w:type="dxa"/>
              <w:left w:w="100" w:type="dxa"/>
              <w:bottom w:w="100" w:type="dxa"/>
              <w:right w:w="100" w:type="dxa"/>
            </w:tcMar>
          </w:tcPr>
          <w:p w14:paraId="73B8F09E"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DENV-3</w:t>
            </w:r>
          </w:p>
        </w:tc>
        <w:tc>
          <w:tcPr>
            <w:tcW w:w="2490" w:type="dxa"/>
            <w:shd w:val="clear" w:color="auto" w:fill="auto"/>
            <w:tcMar>
              <w:top w:w="100" w:type="dxa"/>
              <w:left w:w="100" w:type="dxa"/>
              <w:bottom w:w="100" w:type="dxa"/>
              <w:right w:w="100" w:type="dxa"/>
            </w:tcMar>
          </w:tcPr>
          <w:p w14:paraId="18F3C16E"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67% (38% to 90%)</w:t>
            </w:r>
          </w:p>
        </w:tc>
      </w:tr>
      <w:tr w:rsidR="00CE5A47" w:rsidRPr="000A03F1" w14:paraId="1A9ED51E" w14:textId="77777777" w:rsidTr="00CE3CE5">
        <w:tc>
          <w:tcPr>
            <w:tcW w:w="2100" w:type="dxa"/>
            <w:shd w:val="clear" w:color="auto" w:fill="auto"/>
            <w:tcMar>
              <w:top w:w="100" w:type="dxa"/>
              <w:left w:w="100" w:type="dxa"/>
              <w:bottom w:w="100" w:type="dxa"/>
              <w:right w:w="100" w:type="dxa"/>
            </w:tcMar>
          </w:tcPr>
          <w:p w14:paraId="586595C5"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DENV-4</w:t>
            </w:r>
          </w:p>
        </w:tc>
        <w:tc>
          <w:tcPr>
            <w:tcW w:w="2852" w:type="dxa"/>
            <w:shd w:val="clear" w:color="auto" w:fill="auto"/>
            <w:tcMar>
              <w:top w:w="100" w:type="dxa"/>
              <w:left w:w="100" w:type="dxa"/>
              <w:bottom w:w="100" w:type="dxa"/>
              <w:right w:w="100" w:type="dxa"/>
            </w:tcMar>
          </w:tcPr>
          <w:p w14:paraId="4C2F7D42"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-105.5% (-867.5% to 56.4%)</w:t>
            </w:r>
          </w:p>
        </w:tc>
        <w:tc>
          <w:tcPr>
            <w:tcW w:w="1918" w:type="dxa"/>
            <w:shd w:val="clear" w:color="auto" w:fill="auto"/>
            <w:tcMar>
              <w:top w:w="100" w:type="dxa"/>
              <w:left w:w="100" w:type="dxa"/>
              <w:bottom w:w="100" w:type="dxa"/>
              <w:right w:w="100" w:type="dxa"/>
            </w:tcMar>
          </w:tcPr>
          <w:p w14:paraId="54E52CE2"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DENV-4</w:t>
            </w:r>
          </w:p>
        </w:tc>
        <w:tc>
          <w:tcPr>
            <w:tcW w:w="2490" w:type="dxa"/>
            <w:shd w:val="clear" w:color="auto" w:fill="auto"/>
            <w:tcMar>
              <w:top w:w="100" w:type="dxa"/>
              <w:left w:w="100" w:type="dxa"/>
              <w:bottom w:w="100" w:type="dxa"/>
              <w:right w:w="100" w:type="dxa"/>
            </w:tcMar>
          </w:tcPr>
          <w:p w14:paraId="76F7C71F"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50% (12% to 72%)</w:t>
            </w:r>
          </w:p>
        </w:tc>
      </w:tr>
      <w:tr w:rsidR="00CE5A47" w:rsidRPr="000A03F1" w14:paraId="75F85FB1" w14:textId="77777777" w:rsidTr="00CE3CE5">
        <w:trPr>
          <w:trHeight w:val="420"/>
        </w:trPr>
        <w:tc>
          <w:tcPr>
            <w:tcW w:w="4952" w:type="dxa"/>
            <w:gridSpan w:val="2"/>
            <w:shd w:val="clear" w:color="auto" w:fill="auto"/>
            <w:tcMar>
              <w:top w:w="100" w:type="dxa"/>
              <w:left w:w="100" w:type="dxa"/>
              <w:bottom w:w="100" w:type="dxa"/>
              <w:right w:w="100" w:type="dxa"/>
            </w:tcMar>
          </w:tcPr>
          <w:p w14:paraId="5A62A641" w14:textId="77777777" w:rsidR="00CE5A47" w:rsidRPr="000A03F1" w:rsidRDefault="00CE5A47" w:rsidP="00741A05">
            <w:pPr>
              <w:widowControl w:val="0"/>
              <w:spacing w:line="240" w:lineRule="auto"/>
              <w:contextualSpacing/>
              <w:rPr>
                <w:rFonts w:ascii="Times New Roman" w:hAnsi="Times New Roman" w:cs="Times New Roman"/>
                <w:b/>
                <w:sz w:val="20"/>
                <w:szCs w:val="20"/>
              </w:rPr>
            </w:pPr>
            <w:r w:rsidRPr="000A03F1">
              <w:rPr>
                <w:rFonts w:ascii="Times New Roman" w:hAnsi="Times New Roman" w:cs="Times New Roman"/>
                <w:b/>
                <w:sz w:val="20"/>
                <w:szCs w:val="20"/>
              </w:rPr>
              <w:t>Seropositive</w:t>
            </w:r>
          </w:p>
        </w:tc>
        <w:tc>
          <w:tcPr>
            <w:tcW w:w="4408" w:type="dxa"/>
            <w:gridSpan w:val="2"/>
            <w:shd w:val="clear" w:color="auto" w:fill="auto"/>
            <w:tcMar>
              <w:top w:w="100" w:type="dxa"/>
              <w:left w:w="100" w:type="dxa"/>
              <w:bottom w:w="100" w:type="dxa"/>
              <w:right w:w="100" w:type="dxa"/>
            </w:tcMar>
          </w:tcPr>
          <w:p w14:paraId="1590FAF6" w14:textId="77777777" w:rsidR="00CE5A47" w:rsidRPr="000A03F1" w:rsidRDefault="00CE5A47" w:rsidP="00741A05">
            <w:pPr>
              <w:widowControl w:val="0"/>
              <w:spacing w:line="240" w:lineRule="auto"/>
              <w:contextualSpacing/>
              <w:rPr>
                <w:rFonts w:ascii="Times New Roman" w:hAnsi="Times New Roman" w:cs="Times New Roman"/>
                <w:b/>
                <w:sz w:val="20"/>
                <w:szCs w:val="20"/>
              </w:rPr>
            </w:pPr>
            <w:r w:rsidRPr="000A03F1">
              <w:rPr>
                <w:rFonts w:ascii="Times New Roman" w:hAnsi="Times New Roman" w:cs="Times New Roman"/>
                <w:b/>
                <w:sz w:val="20"/>
                <w:szCs w:val="20"/>
              </w:rPr>
              <w:t>Seropositive</w:t>
            </w:r>
          </w:p>
        </w:tc>
      </w:tr>
      <w:tr w:rsidR="00CE5A47" w:rsidRPr="000A03F1" w14:paraId="22EF1CE8" w14:textId="77777777" w:rsidTr="00CE3CE5">
        <w:tc>
          <w:tcPr>
            <w:tcW w:w="2100" w:type="dxa"/>
            <w:shd w:val="clear" w:color="auto" w:fill="auto"/>
            <w:tcMar>
              <w:top w:w="100" w:type="dxa"/>
              <w:left w:w="100" w:type="dxa"/>
              <w:bottom w:w="100" w:type="dxa"/>
              <w:right w:w="100" w:type="dxa"/>
            </w:tcMar>
          </w:tcPr>
          <w:p w14:paraId="547C0F92"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DENV-1</w:t>
            </w:r>
          </w:p>
        </w:tc>
        <w:tc>
          <w:tcPr>
            <w:tcW w:w="2852" w:type="dxa"/>
            <w:shd w:val="clear" w:color="auto" w:fill="auto"/>
            <w:tcMar>
              <w:top w:w="100" w:type="dxa"/>
              <w:left w:w="100" w:type="dxa"/>
              <w:bottom w:w="100" w:type="dxa"/>
              <w:right w:w="100" w:type="dxa"/>
            </w:tcMar>
          </w:tcPr>
          <w:p w14:paraId="366E4110"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56.2% (43.7% to 66%)</w:t>
            </w:r>
          </w:p>
        </w:tc>
        <w:tc>
          <w:tcPr>
            <w:tcW w:w="1918" w:type="dxa"/>
            <w:shd w:val="clear" w:color="auto" w:fill="auto"/>
            <w:tcMar>
              <w:top w:w="100" w:type="dxa"/>
              <w:left w:w="100" w:type="dxa"/>
              <w:bottom w:w="100" w:type="dxa"/>
              <w:right w:w="100" w:type="dxa"/>
            </w:tcMar>
          </w:tcPr>
          <w:p w14:paraId="3EC2C14E"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DENV-1</w:t>
            </w:r>
          </w:p>
        </w:tc>
        <w:tc>
          <w:tcPr>
            <w:tcW w:w="2490" w:type="dxa"/>
            <w:shd w:val="clear" w:color="auto" w:fill="auto"/>
            <w:tcMar>
              <w:top w:w="100" w:type="dxa"/>
              <w:left w:w="100" w:type="dxa"/>
              <w:bottom w:w="100" w:type="dxa"/>
              <w:right w:w="100" w:type="dxa"/>
            </w:tcMar>
          </w:tcPr>
          <w:p w14:paraId="507E938B"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59% (38% to 74%)</w:t>
            </w:r>
          </w:p>
        </w:tc>
      </w:tr>
      <w:tr w:rsidR="00CE5A47" w:rsidRPr="000A03F1" w14:paraId="2F2A432C" w14:textId="77777777" w:rsidTr="00CE3CE5">
        <w:tc>
          <w:tcPr>
            <w:tcW w:w="2100" w:type="dxa"/>
            <w:shd w:val="clear" w:color="auto" w:fill="auto"/>
            <w:tcMar>
              <w:top w:w="100" w:type="dxa"/>
              <w:left w:w="100" w:type="dxa"/>
              <w:bottom w:w="100" w:type="dxa"/>
              <w:right w:w="100" w:type="dxa"/>
            </w:tcMar>
          </w:tcPr>
          <w:p w14:paraId="4A34A8DA"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DENV-2</w:t>
            </w:r>
          </w:p>
        </w:tc>
        <w:tc>
          <w:tcPr>
            <w:tcW w:w="2852" w:type="dxa"/>
            <w:shd w:val="clear" w:color="auto" w:fill="auto"/>
            <w:tcMar>
              <w:top w:w="100" w:type="dxa"/>
              <w:left w:w="100" w:type="dxa"/>
              <w:bottom w:w="100" w:type="dxa"/>
              <w:right w:w="100" w:type="dxa"/>
            </w:tcMar>
          </w:tcPr>
          <w:p w14:paraId="613E925A"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83.4% (76.4% to 88.3%)</w:t>
            </w:r>
          </w:p>
        </w:tc>
        <w:tc>
          <w:tcPr>
            <w:tcW w:w="1918" w:type="dxa"/>
            <w:shd w:val="clear" w:color="auto" w:fill="auto"/>
            <w:tcMar>
              <w:top w:w="100" w:type="dxa"/>
              <w:left w:w="100" w:type="dxa"/>
              <w:bottom w:w="100" w:type="dxa"/>
              <w:right w:w="100" w:type="dxa"/>
            </w:tcMar>
          </w:tcPr>
          <w:p w14:paraId="38817AC3"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DENV-2</w:t>
            </w:r>
          </w:p>
        </w:tc>
        <w:tc>
          <w:tcPr>
            <w:tcW w:w="2490" w:type="dxa"/>
            <w:shd w:val="clear" w:color="auto" w:fill="auto"/>
            <w:tcMar>
              <w:top w:w="100" w:type="dxa"/>
              <w:left w:w="100" w:type="dxa"/>
              <w:bottom w:w="100" w:type="dxa"/>
              <w:right w:w="100" w:type="dxa"/>
            </w:tcMar>
          </w:tcPr>
          <w:p w14:paraId="5A4F4C2D"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54% (33% to 73%)</w:t>
            </w:r>
          </w:p>
        </w:tc>
      </w:tr>
      <w:tr w:rsidR="00CE5A47" w:rsidRPr="000A03F1" w14:paraId="3E45CABB" w14:textId="77777777" w:rsidTr="00CE3CE5">
        <w:tc>
          <w:tcPr>
            <w:tcW w:w="2100" w:type="dxa"/>
            <w:shd w:val="clear" w:color="auto" w:fill="auto"/>
            <w:tcMar>
              <w:top w:w="100" w:type="dxa"/>
              <w:left w:w="100" w:type="dxa"/>
              <w:bottom w:w="100" w:type="dxa"/>
              <w:right w:w="100" w:type="dxa"/>
            </w:tcMar>
          </w:tcPr>
          <w:p w14:paraId="035FCD40"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DENV-3</w:t>
            </w:r>
          </w:p>
        </w:tc>
        <w:tc>
          <w:tcPr>
            <w:tcW w:w="2852" w:type="dxa"/>
            <w:shd w:val="clear" w:color="auto" w:fill="auto"/>
            <w:tcMar>
              <w:top w:w="100" w:type="dxa"/>
              <w:left w:w="100" w:type="dxa"/>
              <w:bottom w:w="100" w:type="dxa"/>
              <w:right w:w="100" w:type="dxa"/>
            </w:tcMar>
          </w:tcPr>
          <w:p w14:paraId="0D51B0B3"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52.3% (36.6% to 64.2%)</w:t>
            </w:r>
          </w:p>
        </w:tc>
        <w:tc>
          <w:tcPr>
            <w:tcW w:w="1918" w:type="dxa"/>
            <w:shd w:val="clear" w:color="auto" w:fill="auto"/>
            <w:tcMar>
              <w:top w:w="100" w:type="dxa"/>
              <w:left w:w="100" w:type="dxa"/>
              <w:bottom w:w="100" w:type="dxa"/>
              <w:right w:w="100" w:type="dxa"/>
            </w:tcMar>
          </w:tcPr>
          <w:p w14:paraId="11F46918"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DENV-3</w:t>
            </w:r>
          </w:p>
        </w:tc>
        <w:tc>
          <w:tcPr>
            <w:tcW w:w="2490" w:type="dxa"/>
            <w:shd w:val="clear" w:color="auto" w:fill="auto"/>
            <w:tcMar>
              <w:top w:w="100" w:type="dxa"/>
              <w:left w:w="100" w:type="dxa"/>
              <w:bottom w:w="100" w:type="dxa"/>
              <w:right w:w="100" w:type="dxa"/>
            </w:tcMar>
          </w:tcPr>
          <w:p w14:paraId="68707BAF"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74% (61% to 84%)</w:t>
            </w:r>
          </w:p>
        </w:tc>
      </w:tr>
      <w:tr w:rsidR="00CE5A47" w:rsidRPr="000A03F1" w14:paraId="3119CBC1" w14:textId="77777777" w:rsidTr="00CE3CE5">
        <w:tc>
          <w:tcPr>
            <w:tcW w:w="2100" w:type="dxa"/>
            <w:shd w:val="clear" w:color="auto" w:fill="auto"/>
            <w:tcMar>
              <w:top w:w="100" w:type="dxa"/>
              <w:left w:w="100" w:type="dxa"/>
              <w:bottom w:w="100" w:type="dxa"/>
              <w:right w:w="100" w:type="dxa"/>
            </w:tcMar>
          </w:tcPr>
          <w:p w14:paraId="167F3FD4"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DENV-4</w:t>
            </w:r>
          </w:p>
        </w:tc>
        <w:tc>
          <w:tcPr>
            <w:tcW w:w="2852" w:type="dxa"/>
            <w:shd w:val="clear" w:color="auto" w:fill="auto"/>
            <w:tcMar>
              <w:top w:w="100" w:type="dxa"/>
              <w:left w:w="100" w:type="dxa"/>
              <w:bottom w:w="100" w:type="dxa"/>
              <w:right w:w="100" w:type="dxa"/>
            </w:tcMar>
          </w:tcPr>
          <w:p w14:paraId="2AC05DF7"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60.7% (16.0% to 81,6%)</w:t>
            </w:r>
          </w:p>
        </w:tc>
        <w:tc>
          <w:tcPr>
            <w:tcW w:w="1918" w:type="dxa"/>
            <w:shd w:val="clear" w:color="auto" w:fill="auto"/>
            <w:tcMar>
              <w:top w:w="100" w:type="dxa"/>
              <w:left w:w="100" w:type="dxa"/>
              <w:bottom w:w="100" w:type="dxa"/>
              <w:right w:w="100" w:type="dxa"/>
            </w:tcMar>
          </w:tcPr>
          <w:p w14:paraId="30E19E2E"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DENV-4</w:t>
            </w:r>
          </w:p>
        </w:tc>
        <w:tc>
          <w:tcPr>
            <w:tcW w:w="2490" w:type="dxa"/>
            <w:shd w:val="clear" w:color="auto" w:fill="auto"/>
            <w:tcMar>
              <w:top w:w="100" w:type="dxa"/>
              <w:left w:w="100" w:type="dxa"/>
              <w:bottom w:w="100" w:type="dxa"/>
              <w:right w:w="100" w:type="dxa"/>
            </w:tcMar>
          </w:tcPr>
          <w:p w14:paraId="5A7E0F32" w14:textId="77777777" w:rsidR="00CE5A47" w:rsidRPr="000A03F1" w:rsidRDefault="00CE5A47"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88% (80% to 95%)</w:t>
            </w:r>
          </w:p>
        </w:tc>
      </w:tr>
    </w:tbl>
    <w:p w14:paraId="3773D091" w14:textId="22B2AF76" w:rsidR="00CE5A47" w:rsidRPr="000A03F1" w:rsidRDefault="00B94A14" w:rsidP="00B94A14">
      <w:pPr>
        <w:pStyle w:val="Heading2"/>
        <w:rPr>
          <w:rFonts w:ascii="Times New Roman" w:hAnsi="Times New Roman" w:cs="Times New Roman"/>
          <w:b w:val="0"/>
        </w:rPr>
      </w:pPr>
      <w:r w:rsidRPr="000A03F1">
        <w:rPr>
          <w:rFonts w:ascii="Times New Roman" w:hAnsi="Times New Roman" w:cs="Times New Roman"/>
        </w:rPr>
        <w:lastRenderedPageBreak/>
        <w:t>2.</w:t>
      </w:r>
      <w:r w:rsidR="00E231D1" w:rsidRPr="000A03F1">
        <w:rPr>
          <w:rFonts w:ascii="Times New Roman" w:hAnsi="Times New Roman" w:cs="Times New Roman"/>
        </w:rPr>
        <w:t>3</w:t>
      </w:r>
      <w:r w:rsidRPr="000A03F1">
        <w:rPr>
          <w:rFonts w:ascii="Times New Roman" w:hAnsi="Times New Roman" w:cs="Times New Roman"/>
        </w:rPr>
        <w:t xml:space="preserve">. </w:t>
      </w:r>
      <w:r w:rsidR="006B6443" w:rsidRPr="000A03F1">
        <w:rPr>
          <w:rFonts w:ascii="Times New Roman" w:hAnsi="Times New Roman" w:cs="Times New Roman"/>
        </w:rPr>
        <w:t>Model calibration</w:t>
      </w:r>
      <w:r w:rsidR="00792120" w:rsidRPr="000A03F1">
        <w:rPr>
          <w:rFonts w:ascii="Times New Roman" w:hAnsi="Times New Roman" w:cs="Times New Roman"/>
        </w:rPr>
        <w:t xml:space="preserve"> to epidemiological data</w:t>
      </w:r>
    </w:p>
    <w:p w14:paraId="0BFE364D" w14:textId="0A171266" w:rsidR="00673009" w:rsidRPr="000A03F1" w:rsidRDefault="006770FB"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As young, dengue naïve, are the group with the highest risk of acquiring DHF, we tried to model if the vaccination was targeted </w:t>
      </w:r>
      <w:r w:rsidR="00673009" w:rsidRPr="000A03F1">
        <w:rPr>
          <w:rFonts w:ascii="Times New Roman" w:hAnsi="Times New Roman" w:cs="Times New Roman"/>
          <w:sz w:val="24"/>
          <w:szCs w:val="24"/>
        </w:rPr>
        <w:t>specifically</w:t>
      </w:r>
      <w:r w:rsidRPr="000A03F1">
        <w:rPr>
          <w:rFonts w:ascii="Times New Roman" w:hAnsi="Times New Roman" w:cs="Times New Roman"/>
          <w:sz w:val="24"/>
          <w:szCs w:val="24"/>
        </w:rPr>
        <w:t xml:space="preserve"> in this </w:t>
      </w:r>
      <w:r w:rsidR="00673009" w:rsidRPr="000A03F1">
        <w:rPr>
          <w:rFonts w:ascii="Times New Roman" w:hAnsi="Times New Roman" w:cs="Times New Roman"/>
          <w:sz w:val="24"/>
          <w:szCs w:val="24"/>
        </w:rPr>
        <w:t xml:space="preserve">age </w:t>
      </w:r>
      <w:r w:rsidRPr="000A03F1">
        <w:rPr>
          <w:rFonts w:ascii="Times New Roman" w:hAnsi="Times New Roman" w:cs="Times New Roman"/>
          <w:sz w:val="24"/>
          <w:szCs w:val="24"/>
        </w:rPr>
        <w:t>group and ev</w:t>
      </w:r>
      <w:r w:rsidR="00673009" w:rsidRPr="000A03F1">
        <w:rPr>
          <w:rFonts w:ascii="Times New Roman" w:hAnsi="Times New Roman" w:cs="Times New Roman"/>
          <w:sz w:val="24"/>
          <w:szCs w:val="24"/>
        </w:rPr>
        <w:t>aluate the impact on the overall DHF cases averted in this sub population as well as the entire population.</w:t>
      </w:r>
      <w:r w:rsidRPr="000A03F1">
        <w:rPr>
          <w:rFonts w:ascii="Times New Roman" w:hAnsi="Times New Roman" w:cs="Times New Roman"/>
          <w:sz w:val="24"/>
          <w:szCs w:val="24"/>
        </w:rPr>
        <w:t xml:space="preserve"> </w:t>
      </w:r>
      <w:r w:rsidR="00673009" w:rsidRPr="000A03F1">
        <w:rPr>
          <w:rFonts w:ascii="Times New Roman" w:hAnsi="Times New Roman" w:cs="Times New Roman"/>
          <w:sz w:val="24"/>
          <w:szCs w:val="24"/>
        </w:rPr>
        <w:t>To account for this, d</w:t>
      </w:r>
      <w:r w:rsidR="00CE5A47" w:rsidRPr="000A03F1">
        <w:rPr>
          <w:rFonts w:ascii="Times New Roman" w:hAnsi="Times New Roman" w:cs="Times New Roman"/>
          <w:sz w:val="24"/>
          <w:szCs w:val="24"/>
        </w:rPr>
        <w:t xml:space="preserve">ata from the epidemiology surveillance system in Jakarta was collated, and an extended model was developed to account for age stratification by dividing the population into two </w:t>
      </w:r>
      <w:r w:rsidR="00C846F2" w:rsidRPr="000A03F1">
        <w:rPr>
          <w:rFonts w:ascii="Times New Roman" w:hAnsi="Times New Roman" w:cs="Times New Roman"/>
          <w:sz w:val="24"/>
          <w:szCs w:val="24"/>
        </w:rPr>
        <w:t xml:space="preserve">different </w:t>
      </w:r>
      <w:r w:rsidR="00CE5A47" w:rsidRPr="000A03F1">
        <w:rPr>
          <w:rFonts w:ascii="Times New Roman" w:hAnsi="Times New Roman" w:cs="Times New Roman"/>
          <w:sz w:val="24"/>
          <w:szCs w:val="24"/>
        </w:rPr>
        <w:t>age groups</w:t>
      </w:r>
      <w:r w:rsidR="006A618F" w:rsidRPr="000A03F1">
        <w:rPr>
          <w:rFonts w:ascii="Times New Roman" w:hAnsi="Times New Roman" w:cs="Times New Roman"/>
          <w:sz w:val="24"/>
          <w:szCs w:val="24"/>
        </w:rPr>
        <w:t xml:space="preserve">, from 0 to </w:t>
      </w:r>
      <m:oMath>
        <m:r>
          <w:rPr>
            <w:rFonts w:ascii="Cambria Math" w:hAnsi="Cambria Math" w:cs="Times New Roman"/>
            <w:sz w:val="24"/>
            <w:szCs w:val="24"/>
          </w:rPr>
          <m:t>a</m:t>
        </m:r>
      </m:oMath>
      <w:r w:rsidR="006A618F" w:rsidRPr="000A03F1">
        <w:rPr>
          <w:rFonts w:ascii="Times New Roman" w:hAnsi="Times New Roman" w:cs="Times New Roman"/>
          <w:sz w:val="24"/>
          <w:szCs w:val="24"/>
          <w:vertAlign w:val="subscript"/>
        </w:rPr>
        <w:t xml:space="preserve"> </w:t>
      </w:r>
      <w:r w:rsidR="00C84E58" w:rsidRPr="000A03F1">
        <w:rPr>
          <w:rFonts w:ascii="Times New Roman" w:hAnsi="Times New Roman" w:cs="Times New Roman"/>
          <w:sz w:val="24"/>
          <w:szCs w:val="24"/>
        </w:rPr>
        <w:t xml:space="preserve">(age group A) </w:t>
      </w:r>
      <w:r w:rsidR="006A618F" w:rsidRPr="000A03F1">
        <w:rPr>
          <w:rFonts w:ascii="Times New Roman" w:hAnsi="Times New Roman" w:cs="Times New Roman"/>
          <w:sz w:val="24"/>
          <w:szCs w:val="24"/>
        </w:rPr>
        <w:t xml:space="preserve">and </w:t>
      </w:r>
      <m:oMath>
        <m:r>
          <w:rPr>
            <w:rFonts w:ascii="Cambria Math" w:hAnsi="Cambria Math" w:cs="Times New Roman"/>
            <w:sz w:val="24"/>
            <w:szCs w:val="24"/>
          </w:rPr>
          <m:t>a</m:t>
        </m:r>
      </m:oMath>
      <w:r w:rsidR="006A618F" w:rsidRPr="000A03F1">
        <w:rPr>
          <w:rFonts w:ascii="Times New Roman" w:hAnsi="Times New Roman" w:cs="Times New Roman"/>
          <w:sz w:val="24"/>
          <w:szCs w:val="24"/>
        </w:rPr>
        <w:t xml:space="preserve"> to L</w:t>
      </w:r>
      <w:r w:rsidR="00C84E58" w:rsidRPr="000A03F1">
        <w:rPr>
          <w:rFonts w:ascii="Times New Roman" w:hAnsi="Times New Roman" w:cs="Times New Roman"/>
          <w:sz w:val="24"/>
          <w:szCs w:val="24"/>
        </w:rPr>
        <w:t xml:space="preserve"> (age group B)</w:t>
      </w:r>
      <w:r w:rsidR="006A618F" w:rsidRPr="000A03F1">
        <w:rPr>
          <w:rFonts w:ascii="Times New Roman" w:hAnsi="Times New Roman" w:cs="Times New Roman"/>
          <w:sz w:val="24"/>
          <w:szCs w:val="24"/>
        </w:rPr>
        <w:t xml:space="preserve">, where </w:t>
      </w:r>
      <m:oMath>
        <m:r>
          <w:rPr>
            <w:rFonts w:ascii="Cambria Math" w:hAnsi="Cambria Math" w:cs="Times New Roman"/>
            <w:sz w:val="24"/>
            <w:szCs w:val="24"/>
          </w:rPr>
          <m:t>a</m:t>
        </m:r>
      </m:oMath>
      <w:r w:rsidR="000B47CC" w:rsidRPr="000A03F1">
        <w:rPr>
          <w:rFonts w:ascii="Times New Roman" w:hAnsi="Times New Roman" w:cs="Times New Roman"/>
          <w:sz w:val="24"/>
          <w:szCs w:val="24"/>
        </w:rPr>
        <w:t xml:space="preserve"> </w:t>
      </w:r>
      <w:r w:rsidR="00B24036" w:rsidRPr="000A03F1">
        <w:rPr>
          <w:rFonts w:ascii="Times New Roman" w:hAnsi="Times New Roman" w:cs="Times New Roman"/>
          <w:sz w:val="24"/>
          <w:szCs w:val="24"/>
        </w:rPr>
        <w:t xml:space="preserve">would be determined based on the characteristics of the age-structured case notification data from the epidemiology surveillance report in Jakarta </w:t>
      </w:r>
      <w:r w:rsidR="00B24036"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{"citationID":"j4F7QPe7","properties":{"formattedCitation":"(38)","plainCitation":"(38)","noteIndex":0},"citationItems":[{"id":572,"uris":["http://zotero.org/users/10607232/items/N24LQA3K"],"itemData":{"id":572,"type":"dataset","title":"Seksi Surveilans Epidemiologi dan Imunisasi","URL":"https://surveilans-dinkes.jakarta.go.id/sarsbaru/index.php","author":[{"family":"Health Department of Jakarta","given":""}],"accessed":{"date-parts":[["2023",8,8]]},"issued":{"date-parts":[["2023"]]}}}],"schema":"https://github.com/citation-style-language/schema/raw/master/csl-citation.json"} </w:instrText>
      </w:r>
      <w:r w:rsidR="00B24036"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(38)</w:t>
      </w:r>
      <w:r w:rsidR="00B24036" w:rsidRPr="000A03F1">
        <w:rPr>
          <w:rFonts w:ascii="Times New Roman" w:hAnsi="Times New Roman" w:cs="Times New Roman"/>
          <w:sz w:val="24"/>
          <w:szCs w:val="24"/>
        </w:rPr>
        <w:fldChar w:fldCharType="end"/>
      </w:r>
      <w:r w:rsidR="00B24036" w:rsidRPr="000A03F1">
        <w:rPr>
          <w:rFonts w:ascii="Times New Roman" w:hAnsi="Times New Roman" w:cs="Times New Roman"/>
          <w:sz w:val="24"/>
          <w:szCs w:val="24"/>
        </w:rPr>
        <w:t xml:space="preserve">, </w:t>
      </w:r>
      <w:r w:rsidR="000B47CC" w:rsidRPr="000A03F1">
        <w:rPr>
          <w:rFonts w:ascii="Times New Roman" w:hAnsi="Times New Roman" w:cs="Times New Roman"/>
          <w:sz w:val="24"/>
          <w:szCs w:val="24"/>
        </w:rPr>
        <w:t xml:space="preserve">and </w:t>
      </w:r>
      <w:r w:rsidR="006A618F" w:rsidRPr="000A03F1">
        <w:rPr>
          <w:rFonts w:ascii="Times New Roman" w:hAnsi="Times New Roman" w:cs="Times New Roman"/>
          <w:sz w:val="24"/>
          <w:szCs w:val="24"/>
        </w:rPr>
        <w:t xml:space="preserve">L </w:t>
      </w:r>
      <w:r w:rsidR="00B24036" w:rsidRPr="000A03F1">
        <w:rPr>
          <w:rFonts w:ascii="Times New Roman" w:hAnsi="Times New Roman" w:cs="Times New Roman"/>
          <w:sz w:val="24"/>
          <w:szCs w:val="24"/>
        </w:rPr>
        <w:t>was</w:t>
      </w:r>
      <w:r w:rsidR="006A618F" w:rsidRPr="000A03F1">
        <w:rPr>
          <w:rFonts w:ascii="Times New Roman" w:hAnsi="Times New Roman" w:cs="Times New Roman"/>
          <w:sz w:val="24"/>
          <w:szCs w:val="24"/>
        </w:rPr>
        <w:t xml:space="preserve"> the life expectancy </w:t>
      </w:r>
      <w:r w:rsidR="009D158E" w:rsidRPr="000A03F1">
        <w:rPr>
          <w:rFonts w:ascii="Times New Roman" w:hAnsi="Times New Roman" w:cs="Times New Roman"/>
          <w:sz w:val="24"/>
          <w:szCs w:val="24"/>
        </w:rPr>
        <w:t xml:space="preserve">of the </w:t>
      </w:r>
      <w:r w:rsidR="006A618F" w:rsidRPr="000A03F1">
        <w:rPr>
          <w:rFonts w:ascii="Times New Roman" w:hAnsi="Times New Roman" w:cs="Times New Roman"/>
          <w:sz w:val="24"/>
          <w:szCs w:val="24"/>
        </w:rPr>
        <w:t>total population</w:t>
      </w:r>
      <w:r w:rsidR="00CE5A47" w:rsidRPr="000A03F1">
        <w:rPr>
          <w:rFonts w:ascii="Times New Roman" w:hAnsi="Times New Roman" w:cs="Times New Roman"/>
          <w:sz w:val="24"/>
          <w:szCs w:val="24"/>
        </w:rPr>
        <w:t xml:space="preserve">. Then, the seasonality of the reported monthly DHF incidence </w:t>
      </w:r>
      <w:r w:rsidR="0051696D" w:rsidRPr="000A03F1">
        <w:rPr>
          <w:rFonts w:ascii="Times New Roman" w:hAnsi="Times New Roman" w:cs="Times New Roman"/>
          <w:sz w:val="24"/>
          <w:szCs w:val="24"/>
        </w:rPr>
        <w:t>were averaged by month</w:t>
      </w:r>
      <w:r w:rsidR="00CE5A47" w:rsidRPr="000A03F1">
        <w:rPr>
          <w:rFonts w:ascii="Times New Roman" w:hAnsi="Times New Roman" w:cs="Times New Roman"/>
          <w:sz w:val="24"/>
          <w:szCs w:val="24"/>
        </w:rPr>
        <w:t xml:space="preserve"> for the model to capture the </w:t>
      </w:r>
      <w:r w:rsidR="00C46372" w:rsidRPr="000A03F1">
        <w:rPr>
          <w:rFonts w:ascii="Times New Roman" w:hAnsi="Times New Roman" w:cs="Times New Roman"/>
          <w:sz w:val="24"/>
          <w:szCs w:val="24"/>
        </w:rPr>
        <w:t xml:space="preserve">average </w:t>
      </w:r>
      <w:r w:rsidR="00CE5A47" w:rsidRPr="000A03F1">
        <w:rPr>
          <w:rFonts w:ascii="Times New Roman" w:hAnsi="Times New Roman" w:cs="Times New Roman"/>
          <w:sz w:val="24"/>
          <w:szCs w:val="24"/>
        </w:rPr>
        <w:t>dynamics of the reported cases.</w:t>
      </w:r>
    </w:p>
    <w:p w14:paraId="51F8DB34" w14:textId="052F8B43" w:rsidR="00CE5A47" w:rsidRPr="000A03F1" w:rsidRDefault="00CE5A47" w:rsidP="00741A05">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We run the model for </w:t>
      </w:r>
      <w:r w:rsidR="004876E1" w:rsidRPr="000A03F1">
        <w:rPr>
          <w:rFonts w:ascii="Times New Roman" w:hAnsi="Times New Roman" w:cs="Times New Roman"/>
          <w:sz w:val="24"/>
          <w:szCs w:val="24"/>
        </w:rPr>
        <w:t>45</w:t>
      </w:r>
      <w:r w:rsidRPr="000A03F1">
        <w:rPr>
          <w:rFonts w:ascii="Times New Roman" w:hAnsi="Times New Roman" w:cs="Times New Roman"/>
          <w:sz w:val="24"/>
          <w:szCs w:val="24"/>
        </w:rPr>
        <w:t xml:space="preserve"> years and discarded the first </w:t>
      </w:r>
      <w:r w:rsidR="004876E1" w:rsidRPr="000A03F1">
        <w:rPr>
          <w:rFonts w:ascii="Times New Roman" w:hAnsi="Times New Roman" w:cs="Times New Roman"/>
          <w:sz w:val="24"/>
          <w:szCs w:val="24"/>
        </w:rPr>
        <w:t>40</w:t>
      </w:r>
      <w:r w:rsidRPr="000A03F1">
        <w:rPr>
          <w:rFonts w:ascii="Times New Roman" w:hAnsi="Times New Roman" w:cs="Times New Roman"/>
          <w:sz w:val="24"/>
          <w:szCs w:val="24"/>
        </w:rPr>
        <w:t xml:space="preserve"> years to minimise the influence of the initial condition. Then fitted model years </w:t>
      </w:r>
      <w:r w:rsidR="00863E07" w:rsidRPr="000A03F1">
        <w:rPr>
          <w:rFonts w:ascii="Times New Roman" w:hAnsi="Times New Roman" w:cs="Times New Roman"/>
          <w:sz w:val="24"/>
          <w:szCs w:val="24"/>
        </w:rPr>
        <w:t>40</w:t>
      </w:r>
      <w:r w:rsidRPr="000A03F1">
        <w:rPr>
          <w:rFonts w:ascii="Times New Roman" w:hAnsi="Times New Roman" w:cs="Times New Roman"/>
          <w:sz w:val="24"/>
          <w:szCs w:val="24"/>
        </w:rPr>
        <w:t xml:space="preserve"> to </w:t>
      </w:r>
      <w:r w:rsidR="00863E07" w:rsidRPr="000A03F1">
        <w:rPr>
          <w:rFonts w:ascii="Times New Roman" w:hAnsi="Times New Roman" w:cs="Times New Roman"/>
          <w:sz w:val="24"/>
          <w:szCs w:val="24"/>
        </w:rPr>
        <w:t>4</w:t>
      </w:r>
      <w:r w:rsidRPr="000A03F1">
        <w:rPr>
          <w:rFonts w:ascii="Times New Roman" w:hAnsi="Times New Roman" w:cs="Times New Roman"/>
          <w:sz w:val="24"/>
          <w:szCs w:val="24"/>
        </w:rPr>
        <w:t xml:space="preserve">5 to the data </w:t>
      </w:r>
      <w:r w:rsidR="009A799B" w:rsidRPr="000A03F1">
        <w:rPr>
          <w:rFonts w:ascii="Times New Roman" w:hAnsi="Times New Roman" w:cs="Times New Roman"/>
          <w:sz w:val="24"/>
          <w:szCs w:val="24"/>
        </w:rPr>
        <w:t xml:space="preserve">from January 2018 to December 2022 </w:t>
      </w:r>
      <w:r w:rsidRPr="000A03F1">
        <w:rPr>
          <w:rFonts w:ascii="Times New Roman" w:hAnsi="Times New Roman" w:cs="Times New Roman"/>
          <w:sz w:val="24"/>
          <w:szCs w:val="24"/>
        </w:rPr>
        <w:t>by minimising the negative log-likelihood. We used a Poisson distribution for calculating the likelihood,</w:t>
      </w:r>
    </w:p>
    <w:p w14:paraId="52FE3E12" w14:textId="77777777" w:rsidR="00CE5A47" w:rsidRPr="000A03F1" w:rsidRDefault="00CE5A47" w:rsidP="00741A05">
      <w:pPr>
        <w:spacing w:line="480" w:lineRule="auto"/>
        <w:ind w:firstLine="720"/>
        <w:contextualSpacing/>
        <w:jc w:val="both"/>
        <w:rPr>
          <w:rFonts w:ascii="Times New Roman" w:hAnsi="Times New Roman" w:cs="Times New Roman"/>
          <w:sz w:val="24"/>
          <w:szCs w:val="24"/>
        </w:rPr>
      </w:pPr>
    </w:p>
    <w:p w14:paraId="7EA00CC1" w14:textId="13737145" w:rsidR="00CE5A47" w:rsidRPr="000A03F1" w:rsidRDefault="00CE5A47" w:rsidP="00741A05">
      <w:pPr>
        <w:spacing w:line="480" w:lineRule="auto"/>
        <w:ind w:firstLine="720"/>
        <w:contextualSpacing/>
        <w:jc w:val="both"/>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model</m:t>
                </m:r>
              </m:sub>
            </m:sSub>
            <m:r>
              <w:rPr>
                <w:rFonts w:ascii="Cambria Math" w:hAnsi="Cambria Math" w:cs="Times New Roman"/>
                <w:sz w:val="24"/>
                <w:szCs w:val="24"/>
              </w:rPr>
              <m:t>,v</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data</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model</m:t>
                        </m:r>
                      </m:sub>
                    </m:sSub>
                    <m:r>
                      <w:rPr>
                        <w:rFonts w:ascii="Cambria Math" w:hAnsi="Cambria Math" w:cs="Times New Roman"/>
                        <w:sz w:val="24"/>
                        <w:szCs w:val="24"/>
                      </w:rPr>
                      <m:t>v</m:t>
                    </m:r>
                  </m:e>
                </m:d>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data</m:t>
                    </m:r>
                  </m:sub>
                </m:sSub>
              </m:sup>
            </m:sSup>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model</m:t>
                    </m:r>
                  </m:sub>
                </m:sSub>
                <m:r>
                  <w:rPr>
                    <w:rFonts w:ascii="Cambria Math" w:hAnsi="Cambria Math" w:cs="Times New Roman"/>
                    <w:sz w:val="24"/>
                    <w:szCs w:val="24"/>
                  </w:rPr>
                  <m:t>v</m:t>
                </m:r>
              </m:sup>
            </m:sSup>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data</m:t>
                </m:r>
              </m:sub>
            </m:sSub>
            <m:r>
              <w:rPr>
                <w:rFonts w:ascii="Cambria Math" w:hAnsi="Cambria Math" w:cs="Times New Roman"/>
                <w:sz w:val="24"/>
                <w:szCs w:val="24"/>
              </w:rPr>
              <m:t>!</m:t>
            </m:r>
          </m:den>
        </m:f>
      </m:oMath>
      <w:r w:rsidRPr="000A03F1">
        <w:rPr>
          <w:rFonts w:ascii="Times New Roman" w:hAnsi="Times New Roman" w:cs="Times New Roman"/>
          <w:sz w:val="24"/>
          <w:szCs w:val="24"/>
        </w:rPr>
        <w:t>,</w:t>
      </w:r>
      <w:r w:rsidRPr="000A03F1">
        <w:rPr>
          <w:rFonts w:ascii="Times New Roman" w:hAnsi="Times New Roman" w:cs="Times New Roman"/>
          <w:sz w:val="24"/>
          <w:szCs w:val="24"/>
        </w:rPr>
        <w:tab/>
      </w:r>
      <w:r w:rsidRPr="000A03F1">
        <w:rPr>
          <w:rFonts w:ascii="Times New Roman" w:hAnsi="Times New Roman" w:cs="Times New Roman"/>
          <w:sz w:val="24"/>
          <w:szCs w:val="24"/>
        </w:rPr>
        <w:tab/>
      </w:r>
      <w:r w:rsidRPr="000A03F1">
        <w:rPr>
          <w:rFonts w:ascii="Times New Roman" w:hAnsi="Times New Roman" w:cs="Times New Roman"/>
          <w:sz w:val="24"/>
          <w:szCs w:val="24"/>
        </w:rPr>
        <w:tab/>
      </w:r>
      <w:r w:rsidRPr="000A03F1">
        <w:rPr>
          <w:rFonts w:ascii="Times New Roman" w:hAnsi="Times New Roman" w:cs="Times New Roman"/>
          <w:sz w:val="24"/>
          <w:szCs w:val="24"/>
        </w:rPr>
        <w:tab/>
      </w:r>
      <w:r w:rsidRPr="000A03F1">
        <w:rPr>
          <w:rFonts w:ascii="Times New Roman" w:hAnsi="Times New Roman" w:cs="Times New Roman"/>
          <w:sz w:val="24"/>
          <w:szCs w:val="24"/>
        </w:rPr>
        <w:tab/>
        <w:t>(1)</w:t>
      </w:r>
    </w:p>
    <w:p w14:paraId="5D164E9C" w14:textId="77777777" w:rsidR="00CE5A47" w:rsidRPr="000A03F1" w:rsidRDefault="00CE5A47" w:rsidP="00741A05">
      <w:pPr>
        <w:spacing w:line="480" w:lineRule="auto"/>
        <w:ind w:firstLine="720"/>
        <w:contextualSpacing/>
        <w:jc w:val="both"/>
        <w:rPr>
          <w:rFonts w:ascii="Times New Roman" w:hAnsi="Times New Roman" w:cs="Times New Roman"/>
          <w:sz w:val="24"/>
          <w:szCs w:val="24"/>
        </w:rPr>
      </w:pPr>
    </w:p>
    <w:p w14:paraId="3BD2924F" w14:textId="7B33739E" w:rsidR="00CE5A47" w:rsidRPr="000A03F1" w:rsidRDefault="00CE5A47" w:rsidP="00741A05">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model</m:t>
            </m:r>
          </m:sub>
        </m:sSub>
      </m:oMath>
      <w:r w:rsidRPr="000A03F1">
        <w:rPr>
          <w:rFonts w:ascii="Times New Roman" w:hAnsi="Times New Roman" w:cs="Times New Roman"/>
          <w:sz w:val="24"/>
          <w:szCs w:val="24"/>
        </w:rPr>
        <w:t xml:space="preserve"> is the simulated monthly </w:t>
      </w:r>
      <w:r w:rsidR="00474446" w:rsidRPr="000A03F1">
        <w:rPr>
          <w:rFonts w:ascii="Times New Roman" w:hAnsi="Times New Roman" w:cs="Times New Roman"/>
          <w:sz w:val="24"/>
          <w:szCs w:val="24"/>
        </w:rPr>
        <w:t xml:space="preserve">DHF </w:t>
      </w:r>
      <w:r w:rsidR="000F19D6" w:rsidRPr="000A03F1">
        <w:rPr>
          <w:rFonts w:ascii="Times New Roman" w:hAnsi="Times New Roman" w:cs="Times New Roman"/>
          <w:sz w:val="24"/>
          <w:szCs w:val="24"/>
        </w:rPr>
        <w:t>incidence</w:t>
      </w:r>
      <w:r w:rsidRPr="000A03F1">
        <w:rPr>
          <w:rFonts w:ascii="Times New Roman" w:hAnsi="Times New Roman" w:cs="Times New Roman"/>
          <w:sz w:val="24"/>
          <w:szCs w:val="24"/>
        </w:rPr>
        <w:t xml:space="preserve"> from the model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data</m:t>
            </m:r>
          </m:sub>
        </m:sSub>
      </m:oMath>
      <w:r w:rsidRPr="000A03F1">
        <w:rPr>
          <w:rFonts w:ascii="Times New Roman" w:hAnsi="Times New Roman" w:cs="Times New Roman"/>
          <w:sz w:val="24"/>
          <w:szCs w:val="24"/>
        </w:rPr>
        <w:t xml:space="preserve"> is the reported monthly </w:t>
      </w:r>
      <w:r w:rsidR="00F352D8" w:rsidRPr="000A03F1">
        <w:rPr>
          <w:rFonts w:ascii="Times New Roman" w:hAnsi="Times New Roman" w:cs="Times New Roman"/>
          <w:sz w:val="24"/>
          <w:szCs w:val="24"/>
        </w:rPr>
        <w:t xml:space="preserve">hospitalised DHF </w:t>
      </w:r>
      <w:r w:rsidRPr="000A03F1">
        <w:rPr>
          <w:rFonts w:ascii="Times New Roman" w:hAnsi="Times New Roman" w:cs="Times New Roman"/>
          <w:sz w:val="24"/>
          <w:szCs w:val="24"/>
        </w:rPr>
        <w:t xml:space="preserve">cases. </w:t>
      </w:r>
      <w:r w:rsidR="006B1927" w:rsidRPr="000A03F1">
        <w:rPr>
          <w:rFonts w:ascii="Times New Roman" w:hAnsi="Times New Roman" w:cs="Times New Roman"/>
          <w:sz w:val="24"/>
          <w:szCs w:val="24"/>
        </w:rPr>
        <w:t xml:space="preserve">We assume that reporting rate for hospitalised DHF cases in Jakarta is 100%. </w:t>
      </w:r>
      <w:r w:rsidRPr="000A03F1">
        <w:rPr>
          <w:rFonts w:ascii="Times New Roman" w:hAnsi="Times New Roman" w:cs="Times New Roman"/>
          <w:sz w:val="24"/>
          <w:szCs w:val="24"/>
        </w:rPr>
        <w:t>The fitting was done using the “L-BFGS-B” algorithm. The analyses were performed in R version 4.4.2.</w:t>
      </w:r>
    </w:p>
    <w:p w14:paraId="6825D52A" w14:textId="69330D2E" w:rsidR="00F75577" w:rsidRPr="000A03F1" w:rsidRDefault="00E21795" w:rsidP="00E21795">
      <w:pPr>
        <w:pStyle w:val="Heading2"/>
        <w:rPr>
          <w:rFonts w:ascii="Times New Roman" w:hAnsi="Times New Roman" w:cs="Times New Roman"/>
          <w:b w:val="0"/>
        </w:rPr>
      </w:pPr>
      <w:r w:rsidRPr="000A03F1">
        <w:rPr>
          <w:rFonts w:ascii="Times New Roman" w:hAnsi="Times New Roman" w:cs="Times New Roman"/>
        </w:rPr>
        <w:lastRenderedPageBreak/>
        <w:t>2.</w:t>
      </w:r>
      <w:r w:rsidR="00E231D1" w:rsidRPr="000A03F1">
        <w:rPr>
          <w:rFonts w:ascii="Times New Roman" w:hAnsi="Times New Roman" w:cs="Times New Roman"/>
        </w:rPr>
        <w:t>4.</w:t>
      </w:r>
      <w:r w:rsidRPr="000A03F1">
        <w:rPr>
          <w:rFonts w:ascii="Times New Roman" w:hAnsi="Times New Roman" w:cs="Times New Roman"/>
        </w:rPr>
        <w:t xml:space="preserve"> </w:t>
      </w:r>
      <w:r w:rsidR="00CE5A47" w:rsidRPr="000A03F1">
        <w:rPr>
          <w:rFonts w:ascii="Times New Roman" w:hAnsi="Times New Roman" w:cs="Times New Roman"/>
        </w:rPr>
        <w:t>Scenario analys</w:t>
      </w:r>
      <w:r w:rsidR="001957E3" w:rsidRPr="000A03F1">
        <w:rPr>
          <w:rFonts w:ascii="Times New Roman" w:hAnsi="Times New Roman" w:cs="Times New Roman"/>
        </w:rPr>
        <w:t>i</w:t>
      </w:r>
      <w:r w:rsidR="00CE5A47" w:rsidRPr="000A03F1">
        <w:rPr>
          <w:rFonts w:ascii="Times New Roman" w:hAnsi="Times New Roman" w:cs="Times New Roman"/>
        </w:rPr>
        <w:t>s</w:t>
      </w:r>
    </w:p>
    <w:p w14:paraId="1150EB07" w14:textId="5EDDECCE" w:rsidR="00CE5A47" w:rsidRPr="000A03F1" w:rsidRDefault="006877E1" w:rsidP="002828F9">
      <w:pPr>
        <w:spacing w:line="480" w:lineRule="auto"/>
        <w:ind w:left="720" w:hanging="720"/>
        <w:contextualSpacing/>
        <w:rPr>
          <w:rFonts w:ascii="Times New Roman" w:hAnsi="Times New Roman" w:cs="Times New Roman"/>
          <w:sz w:val="24"/>
          <w:szCs w:val="24"/>
        </w:rPr>
      </w:pPr>
      <w:r w:rsidRPr="000A03F1">
        <w:rPr>
          <w:rFonts w:ascii="Times New Roman" w:hAnsi="Times New Roman" w:cs="Times New Roman"/>
          <w:noProof/>
        </w:rPr>
        <w:drawing>
          <wp:inline distT="0" distB="0" distL="0" distR="0" wp14:anchorId="39E51D18" wp14:editId="60532A78">
            <wp:extent cx="5943600" cy="1661795"/>
            <wp:effectExtent l="0" t="0" r="0" b="0"/>
            <wp:docPr id="57780879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8799" name="Picture 2"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61795"/>
                    </a:xfrm>
                    <a:prstGeom prst="rect">
                      <a:avLst/>
                    </a:prstGeom>
                    <a:noFill/>
                    <a:ln>
                      <a:noFill/>
                    </a:ln>
                  </pic:spPr>
                </pic:pic>
              </a:graphicData>
            </a:graphic>
          </wp:inline>
        </w:drawing>
      </w:r>
    </w:p>
    <w:p w14:paraId="270C380A" w14:textId="7DD7E06B" w:rsidR="00CE5A47" w:rsidRPr="000A03F1" w:rsidRDefault="00CE5A47" w:rsidP="00741A05">
      <w:pPr>
        <w:spacing w:line="480" w:lineRule="auto"/>
        <w:contextualSpacing/>
        <w:jc w:val="both"/>
        <w:rPr>
          <w:rFonts w:ascii="Times New Roman" w:hAnsi="Times New Roman" w:cs="Times New Roman"/>
          <w:b/>
          <w:bCs/>
          <w:sz w:val="20"/>
          <w:szCs w:val="20"/>
        </w:rPr>
      </w:pPr>
      <w:r w:rsidRPr="000A03F1">
        <w:rPr>
          <w:rFonts w:ascii="Times New Roman" w:hAnsi="Times New Roman" w:cs="Times New Roman"/>
          <w:b/>
          <w:bCs/>
          <w:sz w:val="20"/>
          <w:szCs w:val="20"/>
        </w:rPr>
        <w:t xml:space="preserve">Figure </w:t>
      </w:r>
      <w:r w:rsidR="00EE6BA3" w:rsidRPr="000A03F1">
        <w:rPr>
          <w:rFonts w:ascii="Times New Roman" w:hAnsi="Times New Roman" w:cs="Times New Roman"/>
          <w:b/>
          <w:bCs/>
          <w:sz w:val="20"/>
          <w:szCs w:val="20"/>
        </w:rPr>
        <w:t>2</w:t>
      </w:r>
      <w:r w:rsidRPr="000A03F1">
        <w:rPr>
          <w:rFonts w:ascii="Times New Roman" w:hAnsi="Times New Roman" w:cs="Times New Roman"/>
          <w:b/>
          <w:bCs/>
          <w:sz w:val="20"/>
          <w:szCs w:val="20"/>
        </w:rPr>
        <w:t>.</w:t>
      </w:r>
      <w:r w:rsidRPr="000A03F1">
        <w:rPr>
          <w:rFonts w:ascii="Times New Roman" w:hAnsi="Times New Roman" w:cs="Times New Roman"/>
          <w:sz w:val="20"/>
          <w:szCs w:val="20"/>
        </w:rPr>
        <w:t xml:space="preserve"> Diagrammatic division of baseline and the other 5 different intervention scenarios. The intervention scenarios were divided based on the type of vaccines used, vaccine allocation, and whether pre-vaccination screening was implemented.</w:t>
      </w:r>
      <w:r w:rsidR="00B2081D" w:rsidRPr="000A03F1">
        <w:rPr>
          <w:rFonts w:ascii="Times New Roman" w:hAnsi="Times New Roman" w:cs="Times New Roman"/>
          <w:sz w:val="20"/>
          <w:szCs w:val="20"/>
        </w:rPr>
        <w:t xml:space="preserve"> Screening was implemented prior </w:t>
      </w:r>
      <w:proofErr w:type="spellStart"/>
      <w:r w:rsidR="00B2081D" w:rsidRPr="000A03F1">
        <w:rPr>
          <w:rFonts w:ascii="Times New Roman" w:hAnsi="Times New Roman" w:cs="Times New Roman"/>
          <w:sz w:val="20"/>
          <w:szCs w:val="20"/>
        </w:rPr>
        <w:t>Dengvaxia</w:t>
      </w:r>
      <w:proofErr w:type="spellEnd"/>
      <w:r w:rsidR="00B2081D" w:rsidRPr="000A03F1">
        <w:rPr>
          <w:rFonts w:ascii="Times New Roman" w:hAnsi="Times New Roman" w:cs="Times New Roman"/>
          <w:sz w:val="20"/>
          <w:szCs w:val="20"/>
        </w:rPr>
        <w:t xml:space="preserve"> vaccination in (scenario 1). To account the impact of screening in </w:t>
      </w:r>
      <w:proofErr w:type="spellStart"/>
      <w:r w:rsidR="00B2081D" w:rsidRPr="000A03F1">
        <w:rPr>
          <w:rFonts w:ascii="Times New Roman" w:hAnsi="Times New Roman" w:cs="Times New Roman"/>
          <w:sz w:val="20"/>
          <w:szCs w:val="20"/>
        </w:rPr>
        <w:t>Qdenga</w:t>
      </w:r>
      <w:proofErr w:type="spellEnd"/>
      <w:r w:rsidR="00B2081D" w:rsidRPr="000A03F1">
        <w:rPr>
          <w:rFonts w:ascii="Times New Roman" w:hAnsi="Times New Roman" w:cs="Times New Roman"/>
          <w:sz w:val="20"/>
          <w:szCs w:val="20"/>
        </w:rPr>
        <w:t xml:space="preserve"> vaccination, we run two scenarios, one without pre-vaccination screening (scenario 2) and one with pre-vaccination screening (scenario 3). To account the impact </w:t>
      </w:r>
      <w:r w:rsidR="006770FB" w:rsidRPr="000A03F1">
        <w:rPr>
          <w:rFonts w:ascii="Times New Roman" w:hAnsi="Times New Roman" w:cs="Times New Roman"/>
          <w:sz w:val="20"/>
          <w:szCs w:val="20"/>
        </w:rPr>
        <w:t xml:space="preserve">of implementation of both </w:t>
      </w:r>
      <w:proofErr w:type="spellStart"/>
      <w:r w:rsidR="006770FB" w:rsidRPr="000A03F1">
        <w:rPr>
          <w:rFonts w:ascii="Times New Roman" w:hAnsi="Times New Roman" w:cs="Times New Roman"/>
          <w:sz w:val="20"/>
          <w:szCs w:val="20"/>
        </w:rPr>
        <w:t>Qdenga</w:t>
      </w:r>
      <w:proofErr w:type="spellEnd"/>
      <w:r w:rsidR="006770FB" w:rsidRPr="000A03F1">
        <w:rPr>
          <w:rFonts w:ascii="Times New Roman" w:hAnsi="Times New Roman" w:cs="Times New Roman"/>
          <w:sz w:val="20"/>
          <w:szCs w:val="20"/>
        </w:rPr>
        <w:t xml:space="preserve"> and </w:t>
      </w:r>
      <w:proofErr w:type="spellStart"/>
      <w:r w:rsidR="006770FB" w:rsidRPr="000A03F1">
        <w:rPr>
          <w:rFonts w:ascii="Times New Roman" w:hAnsi="Times New Roman" w:cs="Times New Roman"/>
          <w:sz w:val="20"/>
          <w:szCs w:val="20"/>
        </w:rPr>
        <w:t>Dengvaxia</w:t>
      </w:r>
      <w:proofErr w:type="spellEnd"/>
      <w:r w:rsidR="006770FB" w:rsidRPr="000A03F1">
        <w:rPr>
          <w:rFonts w:ascii="Times New Roman" w:hAnsi="Times New Roman" w:cs="Times New Roman"/>
          <w:sz w:val="20"/>
          <w:szCs w:val="20"/>
        </w:rPr>
        <w:t xml:space="preserve"> vaccines, we run two additional scenarios, where one scenario was run by considering pre-vaccination screening only prior to </w:t>
      </w:r>
      <w:proofErr w:type="spellStart"/>
      <w:r w:rsidR="006770FB" w:rsidRPr="000A03F1">
        <w:rPr>
          <w:rFonts w:ascii="Times New Roman" w:hAnsi="Times New Roman" w:cs="Times New Roman"/>
          <w:sz w:val="20"/>
          <w:szCs w:val="20"/>
        </w:rPr>
        <w:t>Dengvaxia</w:t>
      </w:r>
      <w:proofErr w:type="spellEnd"/>
      <w:r w:rsidR="006770FB" w:rsidRPr="000A03F1">
        <w:rPr>
          <w:rFonts w:ascii="Times New Roman" w:hAnsi="Times New Roman" w:cs="Times New Roman"/>
          <w:sz w:val="20"/>
          <w:szCs w:val="20"/>
        </w:rPr>
        <w:t xml:space="preserve"> (scenario 4) and one with considering pre-vaccination screening for </w:t>
      </w:r>
      <w:proofErr w:type="spellStart"/>
      <w:r w:rsidR="006770FB" w:rsidRPr="000A03F1">
        <w:rPr>
          <w:rFonts w:ascii="Times New Roman" w:hAnsi="Times New Roman" w:cs="Times New Roman"/>
          <w:sz w:val="20"/>
          <w:szCs w:val="20"/>
        </w:rPr>
        <w:t>Qdenga</w:t>
      </w:r>
      <w:proofErr w:type="spellEnd"/>
      <w:r w:rsidR="006770FB" w:rsidRPr="000A03F1">
        <w:rPr>
          <w:rFonts w:ascii="Times New Roman" w:hAnsi="Times New Roman" w:cs="Times New Roman"/>
          <w:sz w:val="20"/>
          <w:szCs w:val="20"/>
        </w:rPr>
        <w:t xml:space="preserve"> and </w:t>
      </w:r>
      <w:proofErr w:type="spellStart"/>
      <w:r w:rsidR="006770FB" w:rsidRPr="000A03F1">
        <w:rPr>
          <w:rFonts w:ascii="Times New Roman" w:hAnsi="Times New Roman" w:cs="Times New Roman"/>
          <w:sz w:val="20"/>
          <w:szCs w:val="20"/>
        </w:rPr>
        <w:t>Dengvaxia</w:t>
      </w:r>
      <w:proofErr w:type="spellEnd"/>
      <w:r w:rsidR="006770FB" w:rsidRPr="000A03F1">
        <w:rPr>
          <w:rFonts w:ascii="Times New Roman" w:hAnsi="Times New Roman" w:cs="Times New Roman"/>
          <w:sz w:val="20"/>
          <w:szCs w:val="20"/>
        </w:rPr>
        <w:t xml:space="preserve"> (scenario 5).</w:t>
      </w:r>
    </w:p>
    <w:p w14:paraId="1ACE98C0" w14:textId="77777777" w:rsidR="00CE5A47" w:rsidRPr="000A03F1" w:rsidRDefault="00CE5A47" w:rsidP="00741A05">
      <w:pPr>
        <w:spacing w:line="480" w:lineRule="auto"/>
        <w:contextualSpacing/>
        <w:rPr>
          <w:rFonts w:ascii="Times New Roman" w:hAnsi="Times New Roman" w:cs="Times New Roman"/>
          <w:sz w:val="24"/>
          <w:szCs w:val="24"/>
        </w:rPr>
      </w:pPr>
    </w:p>
    <w:p w14:paraId="0F51A6CB" w14:textId="3DF4C718" w:rsidR="006770FB" w:rsidRPr="000A03F1" w:rsidRDefault="00CE5A47"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scenario analyses comprised six </w:t>
      </w:r>
      <w:r w:rsidR="00597CB1" w:rsidRPr="000A03F1">
        <w:rPr>
          <w:rFonts w:ascii="Times New Roman" w:hAnsi="Times New Roman" w:cs="Times New Roman"/>
          <w:sz w:val="24"/>
          <w:szCs w:val="24"/>
        </w:rPr>
        <w:t>different</w:t>
      </w:r>
      <w:r w:rsidRPr="000A03F1">
        <w:rPr>
          <w:rFonts w:ascii="Times New Roman" w:hAnsi="Times New Roman" w:cs="Times New Roman"/>
          <w:sz w:val="24"/>
          <w:szCs w:val="24"/>
        </w:rPr>
        <w:t xml:space="preserve"> scenarios, </w:t>
      </w:r>
      <w:r w:rsidR="00C84E58" w:rsidRPr="000A03F1">
        <w:rPr>
          <w:rFonts w:ascii="Times New Roman" w:hAnsi="Times New Roman" w:cs="Times New Roman"/>
          <w:sz w:val="24"/>
          <w:szCs w:val="24"/>
        </w:rPr>
        <w:t>consisting of</w:t>
      </w:r>
      <w:r w:rsidRPr="000A03F1">
        <w:rPr>
          <w:rFonts w:ascii="Times New Roman" w:hAnsi="Times New Roman" w:cs="Times New Roman"/>
          <w:sz w:val="24"/>
          <w:szCs w:val="24"/>
        </w:rPr>
        <w:t xml:space="preserve"> a baseline scenario with no vaccination, and five intervention scenarios</w:t>
      </w:r>
      <w:r w:rsidR="00F916EB" w:rsidRPr="000A03F1">
        <w:rPr>
          <w:rFonts w:ascii="Times New Roman" w:hAnsi="Times New Roman" w:cs="Times New Roman"/>
          <w:sz w:val="24"/>
          <w:szCs w:val="24"/>
        </w:rPr>
        <w:t xml:space="preserve"> (</w:t>
      </w:r>
      <w:r w:rsidR="00F916EB" w:rsidRPr="000A03F1">
        <w:rPr>
          <w:rFonts w:ascii="Times New Roman" w:hAnsi="Times New Roman" w:cs="Times New Roman"/>
          <w:b/>
          <w:bCs/>
          <w:sz w:val="24"/>
          <w:szCs w:val="24"/>
        </w:rPr>
        <w:t>fig. 2</w:t>
      </w:r>
      <w:r w:rsidR="00F916EB" w:rsidRPr="000A03F1">
        <w:rPr>
          <w:rFonts w:ascii="Times New Roman" w:hAnsi="Times New Roman" w:cs="Times New Roman"/>
          <w:sz w:val="24"/>
          <w:szCs w:val="24"/>
        </w:rPr>
        <w:t>)</w:t>
      </w:r>
      <w:r w:rsidRPr="000A03F1">
        <w:rPr>
          <w:rFonts w:ascii="Times New Roman" w:hAnsi="Times New Roman" w:cs="Times New Roman"/>
          <w:sz w:val="24"/>
          <w:szCs w:val="24"/>
        </w:rPr>
        <w:t>. All vaccination and pre-vaccination screening would be done only in targeted populations</w:t>
      </w:r>
      <w:r w:rsidR="00536193" w:rsidRPr="000A03F1">
        <w:rPr>
          <w:rFonts w:ascii="Times New Roman" w:hAnsi="Times New Roman" w:cs="Times New Roman"/>
          <w:sz w:val="24"/>
          <w:szCs w:val="24"/>
        </w:rPr>
        <w:t>,</w:t>
      </w:r>
      <w:r w:rsidRPr="000A03F1">
        <w:rPr>
          <w:rFonts w:ascii="Times New Roman" w:hAnsi="Times New Roman" w:cs="Times New Roman"/>
          <w:sz w:val="24"/>
          <w:szCs w:val="24"/>
        </w:rPr>
        <w:t xml:space="preserve"> age group A. </w:t>
      </w:r>
      <w:r w:rsidR="006770FB" w:rsidRPr="000A03F1">
        <w:rPr>
          <w:rFonts w:ascii="Times New Roman" w:hAnsi="Times New Roman" w:cs="Times New Roman"/>
          <w:sz w:val="24"/>
          <w:szCs w:val="24"/>
        </w:rPr>
        <w:t xml:space="preserve">The potential for </w:t>
      </w:r>
      <w:proofErr w:type="spellStart"/>
      <w:r w:rsidR="006770FB" w:rsidRPr="000A03F1">
        <w:rPr>
          <w:rFonts w:ascii="Times New Roman" w:hAnsi="Times New Roman" w:cs="Times New Roman"/>
          <w:sz w:val="24"/>
          <w:szCs w:val="24"/>
        </w:rPr>
        <w:t>Dengvaxia</w:t>
      </w:r>
      <w:proofErr w:type="spellEnd"/>
      <w:r w:rsidR="006770FB" w:rsidRPr="000A03F1">
        <w:rPr>
          <w:rFonts w:ascii="Times New Roman" w:hAnsi="Times New Roman" w:cs="Times New Roman"/>
          <w:sz w:val="24"/>
          <w:szCs w:val="24"/>
        </w:rPr>
        <w:t xml:space="preserve"> vaccination to cause ADE in naive individuals has been acknowledged in the literature, </w:t>
      </w:r>
      <w:proofErr w:type="spellStart"/>
      <w:r w:rsidR="006770FB" w:rsidRPr="000A03F1">
        <w:rPr>
          <w:rFonts w:ascii="Times New Roman" w:hAnsi="Times New Roman" w:cs="Times New Roman"/>
          <w:sz w:val="24"/>
          <w:szCs w:val="24"/>
        </w:rPr>
        <w:t>Qdenga</w:t>
      </w:r>
      <w:proofErr w:type="spellEnd"/>
      <w:r w:rsidR="006770FB" w:rsidRPr="000A03F1">
        <w:rPr>
          <w:rFonts w:ascii="Times New Roman" w:hAnsi="Times New Roman" w:cs="Times New Roman"/>
          <w:sz w:val="24"/>
          <w:szCs w:val="24"/>
        </w:rPr>
        <w:t xml:space="preserve"> has received approval in Indonesia from the BPOM without requiring pre-vaccination screening based on prior dengue infection status </w:t>
      </w:r>
      <w:r w:rsidR="006770FB"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ykv0oh4s","properties":{"formattedCitation":"(19)","plainCitation":"(19)","noteIndex":0},"citationItems":[{"id":561,"uris":["http://zotero.org/users/10607232/items/KZZEYU4Q"],"itemData":{"id":561,"type":"document","language":"en","publisher":"Takeda","title":"Takeda’s QDENGA®▼ (Dengue Tetravalent Vaccine [Live, Attenuated]) Approved in Indonesia for Use Regardless of Prior Dengue Exposure","URL":"https://www.takeda.com/newsroom/newsreleases/2022/takedas-qdenga-dengue-tetravalent-vaccine-live-attenuated-approved-in-indonesia-for-use-regardless-of-prior-dengue-exposure/","author":[{"family":"Takeda","given":""}],"accessed":{"date-parts":[["2023",8,8]]},"issued":{"date-parts":[["2022",8,22]]}}}],"schema":"https://github.com/citation-style-language/schema/raw/master/csl-citation.json"} </w:instrText>
      </w:r>
      <w:r w:rsidR="006770FB"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(19)</w:t>
      </w:r>
      <w:r w:rsidR="006770FB" w:rsidRPr="000A03F1">
        <w:rPr>
          <w:rFonts w:ascii="Times New Roman" w:hAnsi="Times New Roman" w:cs="Times New Roman"/>
          <w:sz w:val="24"/>
          <w:szCs w:val="24"/>
        </w:rPr>
        <w:fldChar w:fldCharType="end"/>
      </w:r>
      <w:r w:rsidR="006770FB" w:rsidRPr="000A03F1">
        <w:rPr>
          <w:rFonts w:ascii="Times New Roman" w:hAnsi="Times New Roman" w:cs="Times New Roman"/>
          <w:sz w:val="24"/>
          <w:szCs w:val="24"/>
        </w:rPr>
        <w:t>. Subsequently, the averted DHF cases were estimated by calculating the difference between the scenario and the baseline outputs. The results from the five interventional scenarios were then compared to assess their effectiveness in reducing DHF cases. The impact on the overall DHF cases averted would be calculated over a 3-year period, spanning from January 2023 to December 2025.</w:t>
      </w:r>
    </w:p>
    <w:p w14:paraId="729F0EE1" w14:textId="77777777" w:rsidR="001B100E" w:rsidRPr="000A03F1" w:rsidRDefault="001B100E" w:rsidP="006770FB">
      <w:pPr>
        <w:spacing w:line="480" w:lineRule="auto"/>
        <w:ind w:firstLine="720"/>
        <w:contextualSpacing/>
        <w:jc w:val="both"/>
        <w:rPr>
          <w:rFonts w:ascii="Times New Roman" w:hAnsi="Times New Roman" w:cs="Times New Roman"/>
          <w:sz w:val="24"/>
          <w:szCs w:val="24"/>
        </w:rPr>
      </w:pPr>
    </w:p>
    <w:p w14:paraId="0938D80E" w14:textId="732A9B50" w:rsidR="00CE5A47" w:rsidRPr="000A03F1" w:rsidRDefault="00CE5A47" w:rsidP="00BE5A5B">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bCs/>
          <w:sz w:val="20"/>
          <w:szCs w:val="20"/>
        </w:rPr>
        <w:t>Table 2.</w:t>
      </w:r>
      <w:r w:rsidRPr="000A03F1">
        <w:rPr>
          <w:rFonts w:ascii="Times New Roman" w:hAnsi="Times New Roman" w:cs="Times New Roman"/>
          <w:sz w:val="20"/>
          <w:szCs w:val="20"/>
        </w:rPr>
        <w:t xml:space="preserve"> The detailed description of each scenario as well as screening parameters used in each scenario.</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4"/>
        <w:gridCol w:w="3114"/>
        <w:gridCol w:w="3112"/>
      </w:tblGrid>
      <w:tr w:rsidR="00CE5A47" w:rsidRPr="000A03F1" w14:paraId="14F99D87" w14:textId="77777777" w:rsidTr="00244170">
        <w:tc>
          <w:tcPr>
            <w:tcW w:w="1667" w:type="pct"/>
            <w:shd w:val="clear" w:color="auto" w:fill="auto"/>
            <w:tcMar>
              <w:top w:w="100" w:type="dxa"/>
              <w:left w:w="100" w:type="dxa"/>
              <w:bottom w:w="100" w:type="dxa"/>
              <w:right w:w="100" w:type="dxa"/>
            </w:tcMar>
          </w:tcPr>
          <w:p w14:paraId="01E95733"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Parameters</w:t>
            </w:r>
          </w:p>
        </w:tc>
        <w:tc>
          <w:tcPr>
            <w:tcW w:w="1667" w:type="pct"/>
            <w:shd w:val="clear" w:color="auto" w:fill="auto"/>
            <w:tcMar>
              <w:top w:w="100" w:type="dxa"/>
              <w:left w:w="100" w:type="dxa"/>
              <w:bottom w:w="100" w:type="dxa"/>
              <w:right w:w="100" w:type="dxa"/>
            </w:tcMar>
          </w:tcPr>
          <w:p w14:paraId="6FC2F686"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Value</w:t>
            </w:r>
          </w:p>
        </w:tc>
        <w:tc>
          <w:tcPr>
            <w:tcW w:w="1666" w:type="pct"/>
            <w:shd w:val="clear" w:color="auto" w:fill="auto"/>
            <w:tcMar>
              <w:top w:w="100" w:type="dxa"/>
              <w:left w:w="100" w:type="dxa"/>
              <w:bottom w:w="100" w:type="dxa"/>
              <w:right w:w="100" w:type="dxa"/>
            </w:tcMar>
          </w:tcPr>
          <w:p w14:paraId="257858F6"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References</w:t>
            </w:r>
          </w:p>
        </w:tc>
      </w:tr>
      <w:tr w:rsidR="00CE5A47" w:rsidRPr="000A03F1" w14:paraId="128420E3" w14:textId="77777777" w:rsidTr="00244170">
        <w:tc>
          <w:tcPr>
            <w:tcW w:w="1667" w:type="pct"/>
            <w:shd w:val="clear" w:color="auto" w:fill="auto"/>
            <w:tcMar>
              <w:top w:w="100" w:type="dxa"/>
              <w:left w:w="100" w:type="dxa"/>
              <w:bottom w:w="100" w:type="dxa"/>
              <w:right w:w="100" w:type="dxa"/>
            </w:tcMar>
          </w:tcPr>
          <w:p w14:paraId="471CF472"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Time campaign </w:t>
            </w:r>
          </w:p>
        </w:tc>
        <w:tc>
          <w:tcPr>
            <w:tcW w:w="1667" w:type="pct"/>
            <w:shd w:val="clear" w:color="auto" w:fill="auto"/>
            <w:tcMar>
              <w:top w:w="100" w:type="dxa"/>
              <w:left w:w="100" w:type="dxa"/>
              <w:bottom w:w="100" w:type="dxa"/>
              <w:right w:w="100" w:type="dxa"/>
            </w:tcMar>
          </w:tcPr>
          <w:p w14:paraId="3CDAA04B"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12 months</w:t>
            </w:r>
          </w:p>
        </w:tc>
        <w:tc>
          <w:tcPr>
            <w:tcW w:w="1666" w:type="pct"/>
            <w:shd w:val="clear" w:color="auto" w:fill="auto"/>
            <w:tcMar>
              <w:top w:w="100" w:type="dxa"/>
              <w:left w:w="100" w:type="dxa"/>
              <w:bottom w:w="100" w:type="dxa"/>
              <w:right w:w="100" w:type="dxa"/>
            </w:tcMar>
          </w:tcPr>
          <w:p w14:paraId="2A441FC9" w14:textId="1901C0E7" w:rsidR="00CE5A47" w:rsidRPr="000A03F1" w:rsidRDefault="0032365A"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Assumed</w:t>
            </w:r>
          </w:p>
        </w:tc>
      </w:tr>
      <w:tr w:rsidR="00CE5A47" w:rsidRPr="000A03F1" w14:paraId="29B2B457" w14:textId="77777777" w:rsidTr="00244170">
        <w:tc>
          <w:tcPr>
            <w:tcW w:w="1667" w:type="pct"/>
            <w:shd w:val="clear" w:color="auto" w:fill="auto"/>
            <w:tcMar>
              <w:top w:w="100" w:type="dxa"/>
              <w:left w:w="100" w:type="dxa"/>
              <w:bottom w:w="100" w:type="dxa"/>
              <w:right w:w="100" w:type="dxa"/>
            </w:tcMar>
          </w:tcPr>
          <w:p w14:paraId="71EE6726"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Evaluation time</w:t>
            </w:r>
          </w:p>
        </w:tc>
        <w:tc>
          <w:tcPr>
            <w:tcW w:w="1667" w:type="pct"/>
            <w:shd w:val="clear" w:color="auto" w:fill="auto"/>
            <w:tcMar>
              <w:top w:w="100" w:type="dxa"/>
              <w:left w:w="100" w:type="dxa"/>
              <w:bottom w:w="100" w:type="dxa"/>
              <w:right w:w="100" w:type="dxa"/>
            </w:tcMar>
          </w:tcPr>
          <w:p w14:paraId="61F80FF8"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36 months</w:t>
            </w:r>
          </w:p>
        </w:tc>
        <w:tc>
          <w:tcPr>
            <w:tcW w:w="1666" w:type="pct"/>
            <w:shd w:val="clear" w:color="auto" w:fill="auto"/>
            <w:tcMar>
              <w:top w:w="100" w:type="dxa"/>
              <w:left w:w="100" w:type="dxa"/>
              <w:bottom w:w="100" w:type="dxa"/>
              <w:right w:w="100" w:type="dxa"/>
            </w:tcMar>
          </w:tcPr>
          <w:p w14:paraId="04897DFB" w14:textId="1FE8DCD1" w:rsidR="00CE5A47" w:rsidRPr="000A03F1" w:rsidRDefault="0032365A"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Assumed</w:t>
            </w:r>
          </w:p>
        </w:tc>
      </w:tr>
      <w:tr w:rsidR="00CE5A47" w:rsidRPr="000A03F1" w14:paraId="1EF52579" w14:textId="77777777" w:rsidTr="00244170">
        <w:tc>
          <w:tcPr>
            <w:tcW w:w="1667" w:type="pct"/>
            <w:shd w:val="clear" w:color="auto" w:fill="auto"/>
            <w:tcMar>
              <w:top w:w="100" w:type="dxa"/>
              <w:left w:w="100" w:type="dxa"/>
              <w:bottom w:w="100" w:type="dxa"/>
              <w:right w:w="100" w:type="dxa"/>
            </w:tcMar>
          </w:tcPr>
          <w:p w14:paraId="47BD4340"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Target coverage</w:t>
            </w:r>
            <w:r w:rsidRPr="000A03F1">
              <w:rPr>
                <w:rFonts w:ascii="Times New Roman" w:hAnsi="Times New Roman" w:cs="Times New Roman"/>
                <w:sz w:val="20"/>
                <w:szCs w:val="20"/>
                <w:vertAlign w:val="superscript"/>
              </w:rPr>
              <w:t>*</w:t>
            </w:r>
          </w:p>
        </w:tc>
        <w:tc>
          <w:tcPr>
            <w:tcW w:w="1667" w:type="pct"/>
            <w:shd w:val="clear" w:color="auto" w:fill="auto"/>
            <w:tcMar>
              <w:top w:w="100" w:type="dxa"/>
              <w:left w:w="100" w:type="dxa"/>
              <w:bottom w:w="100" w:type="dxa"/>
              <w:right w:w="100" w:type="dxa"/>
            </w:tcMar>
          </w:tcPr>
          <w:p w14:paraId="42C9B954"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88%</w:t>
            </w:r>
          </w:p>
        </w:tc>
        <w:tc>
          <w:tcPr>
            <w:tcW w:w="1666" w:type="pct"/>
            <w:shd w:val="clear" w:color="auto" w:fill="auto"/>
            <w:tcMar>
              <w:top w:w="100" w:type="dxa"/>
              <w:left w:w="100" w:type="dxa"/>
              <w:bottom w:w="100" w:type="dxa"/>
              <w:right w:w="100" w:type="dxa"/>
            </w:tcMar>
          </w:tcPr>
          <w:p w14:paraId="4FD7A581" w14:textId="455A9D26"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fldChar w:fldCharType="begin"/>
            </w:r>
            <w:r w:rsidR="004B23C6" w:rsidRPr="000A03F1">
              <w:rPr>
                <w:rFonts w:ascii="Times New Roman" w:hAnsi="Times New Roman" w:cs="Times New Roman"/>
                <w:sz w:val="20"/>
                <w:szCs w:val="20"/>
              </w:rPr>
              <w:instrText xml:space="preserve"> ADDIN ZOTERO_ITEM CSL_CITATION {"citationID":"gePnfXDM","properties":{"formattedCitation":"(39)","plainCitation":"(39)","noteIndex":0},"citationItems":[{"id":585,"uris":["http://zotero.org/users/10607232/items/US7894AQ"],"itemData":{"id":585,"type":"document","title":"Health Profile of Indonesia 2009–2018.","author":[{"family":"Ministry of Health, Republic of Indonesia.","given":""}],"issued":{"date-parts":[["2018"]]}}}],"schema":"https://github.com/citation-style-language/schema/raw/master/csl-citation.json"} </w:instrText>
            </w:r>
            <w:r w:rsidRPr="000A03F1">
              <w:rPr>
                <w:rFonts w:ascii="Times New Roman" w:hAnsi="Times New Roman" w:cs="Times New Roman"/>
                <w:sz w:val="20"/>
                <w:szCs w:val="20"/>
              </w:rPr>
              <w:fldChar w:fldCharType="separate"/>
            </w:r>
            <w:r w:rsidR="004B23C6" w:rsidRPr="000A03F1">
              <w:rPr>
                <w:rFonts w:ascii="Times New Roman" w:hAnsi="Times New Roman" w:cs="Times New Roman"/>
                <w:sz w:val="20"/>
              </w:rPr>
              <w:t>(39)</w:t>
            </w:r>
            <w:r w:rsidRPr="000A03F1">
              <w:rPr>
                <w:rFonts w:ascii="Times New Roman" w:hAnsi="Times New Roman" w:cs="Times New Roman"/>
                <w:sz w:val="20"/>
                <w:szCs w:val="20"/>
              </w:rPr>
              <w:fldChar w:fldCharType="end"/>
            </w:r>
          </w:p>
        </w:tc>
      </w:tr>
      <w:tr w:rsidR="00CE5A47" w:rsidRPr="000A03F1" w14:paraId="35156424" w14:textId="77777777" w:rsidTr="00244170">
        <w:tc>
          <w:tcPr>
            <w:tcW w:w="1667" w:type="pct"/>
            <w:shd w:val="clear" w:color="auto" w:fill="auto"/>
            <w:tcMar>
              <w:top w:w="100" w:type="dxa"/>
              <w:left w:w="100" w:type="dxa"/>
              <w:bottom w:w="100" w:type="dxa"/>
              <w:right w:w="100" w:type="dxa"/>
            </w:tcMar>
          </w:tcPr>
          <w:p w14:paraId="3DAB641B"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vertAlign w:val="superscript"/>
              </w:rPr>
            </w:pPr>
            <w:r w:rsidRPr="000A03F1">
              <w:rPr>
                <w:rFonts w:ascii="Times New Roman" w:hAnsi="Times New Roman" w:cs="Times New Roman"/>
                <w:sz w:val="20"/>
                <w:szCs w:val="20"/>
              </w:rPr>
              <w:t>Screening coverage</w:t>
            </w:r>
            <w:r w:rsidRPr="000A03F1">
              <w:rPr>
                <w:rFonts w:ascii="Times New Roman" w:hAnsi="Times New Roman" w:cs="Times New Roman"/>
                <w:color w:val="4D4D4D"/>
                <w:sz w:val="20"/>
                <w:szCs w:val="20"/>
                <w:shd w:val="clear" w:color="auto" w:fill="FFFFFF"/>
                <w:vertAlign w:val="superscript"/>
              </w:rPr>
              <w:t>†</w:t>
            </w:r>
          </w:p>
        </w:tc>
        <w:tc>
          <w:tcPr>
            <w:tcW w:w="1667" w:type="pct"/>
            <w:shd w:val="clear" w:color="auto" w:fill="auto"/>
            <w:tcMar>
              <w:top w:w="100" w:type="dxa"/>
              <w:left w:w="100" w:type="dxa"/>
              <w:bottom w:w="100" w:type="dxa"/>
              <w:right w:w="100" w:type="dxa"/>
            </w:tcMar>
          </w:tcPr>
          <w:p w14:paraId="732C2EC8"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92%</w:t>
            </w:r>
          </w:p>
        </w:tc>
        <w:tc>
          <w:tcPr>
            <w:tcW w:w="1666" w:type="pct"/>
            <w:shd w:val="clear" w:color="auto" w:fill="auto"/>
            <w:tcMar>
              <w:top w:w="100" w:type="dxa"/>
              <w:left w:w="100" w:type="dxa"/>
              <w:bottom w:w="100" w:type="dxa"/>
              <w:right w:w="100" w:type="dxa"/>
            </w:tcMar>
          </w:tcPr>
          <w:p w14:paraId="010B99BC" w14:textId="4044D7B2" w:rsidR="00CE5A47" w:rsidRPr="000A03F1" w:rsidRDefault="00E852B4"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C</w:t>
            </w:r>
            <w:r w:rsidR="00CE5A47" w:rsidRPr="000A03F1">
              <w:rPr>
                <w:rFonts w:ascii="Times New Roman" w:hAnsi="Times New Roman" w:cs="Times New Roman"/>
                <w:sz w:val="20"/>
                <w:szCs w:val="20"/>
              </w:rPr>
              <w:t>alculated from model output</w:t>
            </w:r>
          </w:p>
        </w:tc>
      </w:tr>
      <w:tr w:rsidR="00CE5A47" w:rsidRPr="000A03F1" w14:paraId="0452089D" w14:textId="77777777" w:rsidTr="00244170">
        <w:tc>
          <w:tcPr>
            <w:tcW w:w="1667" w:type="pct"/>
            <w:shd w:val="clear" w:color="auto" w:fill="auto"/>
            <w:tcMar>
              <w:top w:w="100" w:type="dxa"/>
              <w:left w:w="100" w:type="dxa"/>
              <w:bottom w:w="100" w:type="dxa"/>
              <w:right w:w="100" w:type="dxa"/>
            </w:tcMar>
          </w:tcPr>
          <w:p w14:paraId="10AF7E51"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w:t>
            </w:r>
            <w:r w:rsidRPr="000A03F1">
              <w:rPr>
                <w:rFonts w:ascii="Times New Roman" w:hAnsi="Times New Roman" w:cs="Times New Roman"/>
                <w:color w:val="4D4D4D"/>
                <w:sz w:val="20"/>
                <w:szCs w:val="20"/>
                <w:shd w:val="clear" w:color="auto" w:fill="FFFFFF"/>
                <w:vertAlign w:val="superscript"/>
              </w:rPr>
              <w:t>‡</w:t>
            </w:r>
          </w:p>
        </w:tc>
        <w:tc>
          <w:tcPr>
            <w:tcW w:w="1667" w:type="pct"/>
            <w:shd w:val="clear" w:color="auto" w:fill="auto"/>
            <w:tcMar>
              <w:top w:w="100" w:type="dxa"/>
              <w:left w:w="100" w:type="dxa"/>
              <w:bottom w:w="100" w:type="dxa"/>
              <w:right w:w="100" w:type="dxa"/>
            </w:tcMar>
          </w:tcPr>
          <w:p w14:paraId="378DA21C"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1666" w:type="pct"/>
            <w:shd w:val="clear" w:color="auto" w:fill="auto"/>
            <w:tcMar>
              <w:top w:w="100" w:type="dxa"/>
              <w:left w:w="100" w:type="dxa"/>
              <w:bottom w:w="100" w:type="dxa"/>
              <w:right w:w="100" w:type="dxa"/>
            </w:tcMar>
          </w:tcPr>
          <w:p w14:paraId="4F90E29A" w14:textId="0A526A94" w:rsidR="00CE5A47" w:rsidRPr="000A03F1" w:rsidRDefault="00E852B4"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C</w:t>
            </w:r>
            <w:r w:rsidR="00CE5A47" w:rsidRPr="000A03F1">
              <w:rPr>
                <w:rFonts w:ascii="Times New Roman" w:hAnsi="Times New Roman" w:cs="Times New Roman"/>
                <w:sz w:val="20"/>
                <w:szCs w:val="20"/>
              </w:rPr>
              <w:t>alculated from model output</w:t>
            </w:r>
          </w:p>
        </w:tc>
      </w:tr>
      <w:tr w:rsidR="00CE5A47" w:rsidRPr="000A03F1" w14:paraId="26F7C9DB" w14:textId="77777777" w:rsidTr="00244170">
        <w:tc>
          <w:tcPr>
            <w:tcW w:w="1667" w:type="pct"/>
            <w:shd w:val="clear" w:color="auto" w:fill="auto"/>
            <w:tcMar>
              <w:top w:w="100" w:type="dxa"/>
              <w:left w:w="100" w:type="dxa"/>
              <w:bottom w:w="100" w:type="dxa"/>
              <w:right w:w="100" w:type="dxa"/>
            </w:tcMar>
          </w:tcPr>
          <w:p w14:paraId="5A211A44" w14:textId="77777777" w:rsidR="00CE5A47" w:rsidRPr="000A03F1" w:rsidRDefault="00CE5A47" w:rsidP="00741A05">
            <w:pPr>
              <w:widowControl w:val="0"/>
              <w:spacing w:line="240" w:lineRule="auto"/>
              <w:contextualSpacing/>
              <w:rPr>
                <w:rFonts w:ascii="Times New Roman" w:hAnsi="Times New Roman" w:cs="Times New Roman"/>
                <w:sz w:val="20"/>
                <w:szCs w:val="20"/>
                <w:vertAlign w:val="subscript"/>
              </w:rPr>
            </w:pPr>
            <w:r w:rsidRPr="000A03F1">
              <w:rPr>
                <w:rFonts w:ascii="Times New Roman" w:hAnsi="Times New Roman" w:cs="Times New Roman"/>
                <w:sz w:val="20"/>
                <w:szCs w:val="20"/>
              </w:rPr>
              <w:t>SN</w:t>
            </w:r>
            <w:r w:rsidRPr="000A03F1">
              <w:rPr>
                <w:rFonts w:ascii="Times New Roman" w:hAnsi="Times New Roman" w:cs="Times New Roman"/>
                <w:sz w:val="20"/>
                <w:szCs w:val="20"/>
                <w:vertAlign w:val="subscript"/>
              </w:rPr>
              <w:t>A</w:t>
            </w:r>
          </w:p>
        </w:tc>
        <w:tc>
          <w:tcPr>
            <w:tcW w:w="1667" w:type="pct"/>
            <w:shd w:val="clear" w:color="auto" w:fill="auto"/>
            <w:tcMar>
              <w:top w:w="100" w:type="dxa"/>
              <w:left w:w="100" w:type="dxa"/>
              <w:bottom w:w="100" w:type="dxa"/>
              <w:right w:w="100" w:type="dxa"/>
            </w:tcMar>
          </w:tcPr>
          <w:p w14:paraId="42F99B7D"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30%</w:t>
            </w:r>
          </w:p>
        </w:tc>
        <w:tc>
          <w:tcPr>
            <w:tcW w:w="1666" w:type="pct"/>
            <w:shd w:val="clear" w:color="auto" w:fill="auto"/>
            <w:tcMar>
              <w:top w:w="100" w:type="dxa"/>
              <w:left w:w="100" w:type="dxa"/>
              <w:bottom w:w="100" w:type="dxa"/>
              <w:right w:w="100" w:type="dxa"/>
            </w:tcMar>
          </w:tcPr>
          <w:p w14:paraId="7CCEDCC1" w14:textId="2E97A241" w:rsidR="00CE5A47" w:rsidRPr="000A03F1" w:rsidRDefault="00E852B4"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C</w:t>
            </w:r>
            <w:r w:rsidR="00CE5A47" w:rsidRPr="000A03F1">
              <w:rPr>
                <w:rFonts w:ascii="Times New Roman" w:hAnsi="Times New Roman" w:cs="Times New Roman"/>
                <w:sz w:val="20"/>
                <w:szCs w:val="20"/>
              </w:rPr>
              <w:t>alculated from model output</w:t>
            </w:r>
          </w:p>
        </w:tc>
      </w:tr>
      <w:tr w:rsidR="00CE5A47" w:rsidRPr="000A03F1" w14:paraId="7AAAC203" w14:textId="77777777" w:rsidTr="00244170">
        <w:tc>
          <w:tcPr>
            <w:tcW w:w="1667" w:type="pct"/>
            <w:shd w:val="clear" w:color="auto" w:fill="auto"/>
            <w:tcMar>
              <w:top w:w="100" w:type="dxa"/>
              <w:left w:w="100" w:type="dxa"/>
              <w:bottom w:w="100" w:type="dxa"/>
              <w:right w:w="100" w:type="dxa"/>
            </w:tcMar>
          </w:tcPr>
          <w:p w14:paraId="0B07A636"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vertAlign w:val="subscript"/>
              </w:rPr>
            </w:pPr>
            <w:r w:rsidRPr="000A03F1">
              <w:rPr>
                <w:rFonts w:ascii="Times New Roman" w:hAnsi="Times New Roman" w:cs="Times New Roman"/>
                <w:sz w:val="20"/>
                <w:szCs w:val="20"/>
              </w:rPr>
              <w:t>SP</w:t>
            </w:r>
            <w:r w:rsidRPr="000A03F1">
              <w:rPr>
                <w:rFonts w:ascii="Times New Roman" w:hAnsi="Times New Roman" w:cs="Times New Roman"/>
                <w:sz w:val="20"/>
                <w:szCs w:val="20"/>
                <w:vertAlign w:val="subscript"/>
              </w:rPr>
              <w:t>A</w:t>
            </w:r>
          </w:p>
        </w:tc>
        <w:tc>
          <w:tcPr>
            <w:tcW w:w="1667" w:type="pct"/>
            <w:shd w:val="clear" w:color="auto" w:fill="auto"/>
            <w:tcMar>
              <w:top w:w="100" w:type="dxa"/>
              <w:left w:w="100" w:type="dxa"/>
              <w:bottom w:w="100" w:type="dxa"/>
              <w:right w:w="100" w:type="dxa"/>
            </w:tcMar>
          </w:tcPr>
          <w:p w14:paraId="3F801C51"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70%</w:t>
            </w:r>
          </w:p>
        </w:tc>
        <w:tc>
          <w:tcPr>
            <w:tcW w:w="1666" w:type="pct"/>
            <w:shd w:val="clear" w:color="auto" w:fill="auto"/>
            <w:tcMar>
              <w:top w:w="100" w:type="dxa"/>
              <w:left w:w="100" w:type="dxa"/>
              <w:bottom w:w="100" w:type="dxa"/>
              <w:right w:w="100" w:type="dxa"/>
            </w:tcMar>
          </w:tcPr>
          <w:p w14:paraId="30CB19D5" w14:textId="31E9A660" w:rsidR="00CE5A47" w:rsidRPr="000A03F1" w:rsidRDefault="00E852B4"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C</w:t>
            </w:r>
            <w:r w:rsidR="00CE5A47" w:rsidRPr="000A03F1">
              <w:rPr>
                <w:rFonts w:ascii="Times New Roman" w:hAnsi="Times New Roman" w:cs="Times New Roman"/>
                <w:sz w:val="20"/>
                <w:szCs w:val="20"/>
              </w:rPr>
              <w:t>alculated from model output</w:t>
            </w:r>
          </w:p>
        </w:tc>
      </w:tr>
      <w:tr w:rsidR="00CE5A47" w:rsidRPr="000A03F1" w14:paraId="37F3AC1F" w14:textId="77777777" w:rsidTr="00244170">
        <w:tc>
          <w:tcPr>
            <w:tcW w:w="1667" w:type="pct"/>
            <w:shd w:val="clear" w:color="auto" w:fill="auto"/>
            <w:tcMar>
              <w:top w:w="100" w:type="dxa"/>
              <w:left w:w="100" w:type="dxa"/>
              <w:bottom w:w="100" w:type="dxa"/>
              <w:right w:w="100" w:type="dxa"/>
            </w:tcMar>
          </w:tcPr>
          <w:p w14:paraId="03E1F1CB"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dengue vaccination coverage</w:t>
            </w:r>
          </w:p>
        </w:tc>
        <w:tc>
          <w:tcPr>
            <w:tcW w:w="1667" w:type="pct"/>
            <w:shd w:val="clear" w:color="auto" w:fill="auto"/>
            <w:tcMar>
              <w:top w:w="100" w:type="dxa"/>
              <w:left w:w="100" w:type="dxa"/>
              <w:bottom w:w="100" w:type="dxa"/>
              <w:right w:w="100" w:type="dxa"/>
            </w:tcMar>
          </w:tcPr>
          <w:p w14:paraId="0E05A03D"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1666" w:type="pct"/>
            <w:shd w:val="clear" w:color="auto" w:fill="auto"/>
            <w:tcMar>
              <w:top w:w="100" w:type="dxa"/>
              <w:left w:w="100" w:type="dxa"/>
              <w:bottom w:w="100" w:type="dxa"/>
              <w:right w:w="100" w:type="dxa"/>
            </w:tcMar>
          </w:tcPr>
          <w:p w14:paraId="08E0ED13" w14:textId="06B49A27" w:rsidR="00CE5A47" w:rsidRPr="000A03F1" w:rsidRDefault="00E852B4" w:rsidP="00741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C</w:t>
            </w:r>
            <w:r w:rsidR="00CE5A47" w:rsidRPr="000A03F1">
              <w:rPr>
                <w:rFonts w:ascii="Times New Roman" w:hAnsi="Times New Roman" w:cs="Times New Roman"/>
                <w:sz w:val="20"/>
                <w:szCs w:val="20"/>
              </w:rPr>
              <w:t>alculated from model output</w:t>
            </w:r>
          </w:p>
        </w:tc>
      </w:tr>
      <w:tr w:rsidR="00CE5A47" w:rsidRPr="000A03F1" w14:paraId="1EF4111A" w14:textId="77777777" w:rsidTr="00244170">
        <w:tc>
          <w:tcPr>
            <w:tcW w:w="1667" w:type="pct"/>
            <w:shd w:val="clear" w:color="auto" w:fill="auto"/>
            <w:tcMar>
              <w:top w:w="100" w:type="dxa"/>
              <w:left w:w="100" w:type="dxa"/>
              <w:bottom w:w="100" w:type="dxa"/>
              <w:right w:w="100" w:type="dxa"/>
            </w:tcMar>
          </w:tcPr>
          <w:p w14:paraId="1A1F0046"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Sensitivity</w:t>
            </w:r>
          </w:p>
        </w:tc>
        <w:tc>
          <w:tcPr>
            <w:tcW w:w="1667" w:type="pct"/>
            <w:shd w:val="clear" w:color="auto" w:fill="auto"/>
            <w:tcMar>
              <w:top w:w="100" w:type="dxa"/>
              <w:left w:w="100" w:type="dxa"/>
              <w:bottom w:w="100" w:type="dxa"/>
              <w:right w:w="100" w:type="dxa"/>
            </w:tcMar>
          </w:tcPr>
          <w:p w14:paraId="325A3D32" w14:textId="77777777"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93.4%</w:t>
            </w:r>
          </w:p>
        </w:tc>
        <w:tc>
          <w:tcPr>
            <w:tcW w:w="1666" w:type="pct"/>
            <w:shd w:val="clear" w:color="auto" w:fill="auto"/>
            <w:tcMar>
              <w:top w:w="100" w:type="dxa"/>
              <w:left w:w="100" w:type="dxa"/>
              <w:bottom w:w="100" w:type="dxa"/>
              <w:right w:w="100" w:type="dxa"/>
            </w:tcMar>
          </w:tcPr>
          <w:p w14:paraId="4AEA70BE" w14:textId="13268C94" w:rsidR="00CE5A47" w:rsidRPr="000A03F1" w:rsidRDefault="00CE5A47" w:rsidP="00741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fldChar w:fldCharType="begin"/>
            </w:r>
            <w:r w:rsidR="004B23C6" w:rsidRPr="000A03F1">
              <w:rPr>
                <w:rFonts w:ascii="Times New Roman" w:hAnsi="Times New Roman" w:cs="Times New Roman"/>
                <w:sz w:val="20"/>
                <w:szCs w:val="20"/>
              </w:rPr>
              <w:instrText xml:space="preserve"> ADDIN ZOTERO_ITEM CSL_CITATION {"citationID":"xy5SN83w","properties":{"formattedCitation":"(40)","plainCitation":"(40)","noteIndex":0},"citationItems":[{"id":582,"uris":["http://zotero.org/users/10607232/items/SA9A485U"],"itemData":{"id":582,"type":"article-journal","abstract":"Background Detection of dengue virus antibodies is important for understanding future dengue virus risk and for prevaccination screening. We aimed to evaluate the performance of a dengue IgG indirect ELISA in determining dengue seroprevalence in a cohort of children in the Philippines, using a focus reduction neutralisation test (FRNT) as the reference test.","container-title":"The Lancet Global Health","DOI":"10.1016/S2214-109X(20)30392-2","ISSN":"2214109X","issue":"1","journalAbbreviation":"The Lancet Global Health","language":"en","page":"e44-e51","source":"DOI.org (Crossref)","title":"Determining dengue virus serostatus by indirect IgG ELISA compared with focus reduction neutralisation test in children in Cebu, Philippines: a prospective population-based study","title-short":"Determining dengue virus serostatus by indirect IgG ELISA compared with focus reduction neutralisation test in children in Cebu, Philippines","volume":"9","author":[{"family":"Lopez","given":"Anna Lena"},{"family":"Adams","given":"Cameron"},{"family":"Ylade","given":"Michelle"},{"family":"Jadi","given":"Ramesh"},{"family":"Daag","given":"Jedas Veronica"},{"family":"Molloy","given":"Caitlyn T"},{"family":"Agrupis","given":"Kristal An"},{"family":"Kim","given":"Deok Ryun"},{"family":"Silva","given":"Maria Wilda"},{"family":"Yoon","given":"In-Kyu"},{"family":"White","given":"Laura"},{"family":"Deen","given":"Jacqueline"},{"family":"De Silva","given":"Aravinda M"}],"issued":{"date-parts":[["2021",1]]}}}],"schema":"https://github.com/citation-style-language/schema/raw/master/csl-citation.json"} </w:instrText>
            </w:r>
            <w:r w:rsidRPr="000A03F1">
              <w:rPr>
                <w:rFonts w:ascii="Times New Roman" w:hAnsi="Times New Roman" w:cs="Times New Roman"/>
                <w:sz w:val="20"/>
                <w:szCs w:val="20"/>
              </w:rPr>
              <w:fldChar w:fldCharType="separate"/>
            </w:r>
            <w:r w:rsidR="004B23C6" w:rsidRPr="000A03F1">
              <w:rPr>
                <w:rFonts w:ascii="Times New Roman" w:hAnsi="Times New Roman" w:cs="Times New Roman"/>
                <w:sz w:val="20"/>
              </w:rPr>
              <w:t>(40)</w:t>
            </w:r>
            <w:r w:rsidRPr="000A03F1">
              <w:rPr>
                <w:rFonts w:ascii="Times New Roman" w:hAnsi="Times New Roman" w:cs="Times New Roman"/>
                <w:sz w:val="20"/>
                <w:szCs w:val="20"/>
              </w:rPr>
              <w:fldChar w:fldCharType="end"/>
            </w:r>
          </w:p>
        </w:tc>
      </w:tr>
      <w:tr w:rsidR="00CE5A47" w:rsidRPr="000A03F1" w14:paraId="0031683D" w14:textId="77777777" w:rsidTr="00244170">
        <w:tc>
          <w:tcPr>
            <w:tcW w:w="1667" w:type="pct"/>
            <w:shd w:val="clear" w:color="auto" w:fill="auto"/>
            <w:tcMar>
              <w:top w:w="100" w:type="dxa"/>
              <w:left w:w="100" w:type="dxa"/>
              <w:bottom w:w="100" w:type="dxa"/>
              <w:right w:w="100" w:type="dxa"/>
            </w:tcMar>
          </w:tcPr>
          <w:p w14:paraId="1440D163" w14:textId="77777777" w:rsidR="00CE5A47" w:rsidRPr="000A03F1" w:rsidRDefault="00CE5A47" w:rsidP="000202B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Specificity</w:t>
            </w:r>
          </w:p>
        </w:tc>
        <w:tc>
          <w:tcPr>
            <w:tcW w:w="1667" w:type="pct"/>
            <w:shd w:val="clear" w:color="auto" w:fill="auto"/>
            <w:tcMar>
              <w:top w:w="100" w:type="dxa"/>
              <w:left w:w="100" w:type="dxa"/>
              <w:bottom w:w="100" w:type="dxa"/>
              <w:right w:w="100" w:type="dxa"/>
            </w:tcMar>
          </w:tcPr>
          <w:p w14:paraId="15AD8C9F" w14:textId="77777777" w:rsidR="00CE5A47" w:rsidRPr="000A03F1" w:rsidRDefault="00CE5A47" w:rsidP="000202B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95.2%</w:t>
            </w:r>
          </w:p>
        </w:tc>
        <w:tc>
          <w:tcPr>
            <w:tcW w:w="1666" w:type="pct"/>
            <w:shd w:val="clear" w:color="auto" w:fill="auto"/>
            <w:tcMar>
              <w:top w:w="100" w:type="dxa"/>
              <w:left w:w="100" w:type="dxa"/>
              <w:bottom w:w="100" w:type="dxa"/>
              <w:right w:w="100" w:type="dxa"/>
            </w:tcMar>
          </w:tcPr>
          <w:p w14:paraId="3DF87871" w14:textId="19FC8142" w:rsidR="00CE5A47" w:rsidRPr="000A03F1" w:rsidRDefault="00CE5A47" w:rsidP="000202B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fldChar w:fldCharType="begin"/>
            </w:r>
            <w:r w:rsidR="004B23C6" w:rsidRPr="000A03F1">
              <w:rPr>
                <w:rFonts w:ascii="Times New Roman" w:hAnsi="Times New Roman" w:cs="Times New Roman"/>
                <w:sz w:val="20"/>
                <w:szCs w:val="20"/>
              </w:rPr>
              <w:instrText xml:space="preserve"> ADDIN ZOTERO_ITEM CSL_CITATION {"citationID":"QfBvsQ1O","properties":{"formattedCitation":"(40)","plainCitation":"(40)","noteIndex":0},"citationItems":[{"id":582,"uris":["http://zotero.org/users/10607232/items/SA9A485U"],"itemData":{"id":582,"type":"article-journal","abstract":"Background Detection of dengue virus antibodies is important for understanding future dengue virus risk and for prevaccination screening. We aimed to evaluate the performance of a dengue IgG indirect ELISA in determining dengue seroprevalence in a cohort of children in the Philippines, using a focus reduction neutralisation test (FRNT) as the reference test.","container-title":"The Lancet Global Health","DOI":"10.1016/S2214-109X(20)30392-2","ISSN":"2214109X","issue":"1","journalAbbreviation":"The Lancet Global Health","language":"en","page":"e44-e51","source":"DOI.org (Crossref)","title":"Determining dengue virus serostatus by indirect IgG ELISA compared with focus reduction neutralisation test in children in Cebu, Philippines: a prospective population-based study","title-short":"Determining dengue virus serostatus by indirect IgG ELISA compared with focus reduction neutralisation test in children in Cebu, Philippines","volume":"9","author":[{"family":"Lopez","given":"Anna Lena"},{"family":"Adams","given":"Cameron"},{"family":"Ylade","given":"Michelle"},{"family":"Jadi","given":"Ramesh"},{"family":"Daag","given":"Jedas Veronica"},{"family":"Molloy","given":"Caitlyn T"},{"family":"Agrupis","given":"Kristal An"},{"family":"Kim","given":"Deok Ryun"},{"family":"Silva","given":"Maria Wilda"},{"family":"Yoon","given":"In-Kyu"},{"family":"White","given":"Laura"},{"family":"Deen","given":"Jacqueline"},{"family":"De Silva","given":"Aravinda M"}],"issued":{"date-parts":[["2021",1]]}}}],"schema":"https://github.com/citation-style-language/schema/raw/master/csl-citation.json"} </w:instrText>
            </w:r>
            <w:r w:rsidRPr="000A03F1">
              <w:rPr>
                <w:rFonts w:ascii="Times New Roman" w:hAnsi="Times New Roman" w:cs="Times New Roman"/>
                <w:sz w:val="20"/>
                <w:szCs w:val="20"/>
              </w:rPr>
              <w:fldChar w:fldCharType="separate"/>
            </w:r>
            <w:r w:rsidR="004B23C6" w:rsidRPr="000A03F1">
              <w:rPr>
                <w:rFonts w:ascii="Times New Roman" w:hAnsi="Times New Roman" w:cs="Times New Roman"/>
                <w:sz w:val="20"/>
              </w:rPr>
              <w:t>(40)</w:t>
            </w:r>
            <w:r w:rsidRPr="000A03F1">
              <w:rPr>
                <w:rFonts w:ascii="Times New Roman" w:hAnsi="Times New Roman" w:cs="Times New Roman"/>
                <w:sz w:val="20"/>
                <w:szCs w:val="20"/>
              </w:rPr>
              <w:fldChar w:fldCharType="end"/>
            </w:r>
          </w:p>
        </w:tc>
      </w:tr>
    </w:tbl>
    <w:p w14:paraId="02788FD5" w14:textId="77777777" w:rsidR="00CE5A47" w:rsidRPr="000A03F1" w:rsidRDefault="00CE5A47" w:rsidP="00C7218E">
      <w:pPr>
        <w:spacing w:line="240" w:lineRule="auto"/>
        <w:contextualSpacing/>
        <w:jc w:val="both"/>
        <w:rPr>
          <w:rFonts w:ascii="Times New Roman" w:hAnsi="Times New Roman" w:cs="Times New Roman"/>
          <w:sz w:val="20"/>
          <w:szCs w:val="20"/>
        </w:rPr>
      </w:pPr>
      <w:r w:rsidRPr="000A03F1">
        <w:rPr>
          <w:rFonts w:ascii="Times New Roman" w:hAnsi="Times New Roman" w:cs="Times New Roman"/>
          <w:sz w:val="20"/>
          <w:szCs w:val="20"/>
          <w:vertAlign w:val="superscript"/>
        </w:rPr>
        <w:t>*</w:t>
      </w:r>
      <w:r w:rsidRPr="000A03F1">
        <w:rPr>
          <w:rFonts w:ascii="Times New Roman" w:hAnsi="Times New Roman" w:cs="Times New Roman"/>
          <w:sz w:val="20"/>
          <w:szCs w:val="20"/>
        </w:rPr>
        <w:t>Target coverage took the reference from the Ministry of health.</w:t>
      </w:r>
    </w:p>
    <w:p w14:paraId="66327D2D" w14:textId="77777777" w:rsidR="00CE5A47" w:rsidRPr="000A03F1" w:rsidRDefault="00CE5A47" w:rsidP="00C7218E">
      <w:pPr>
        <w:spacing w:line="240" w:lineRule="auto"/>
        <w:contextualSpacing/>
        <w:jc w:val="both"/>
        <w:rPr>
          <w:rFonts w:ascii="Times New Roman" w:hAnsi="Times New Roman" w:cs="Times New Roman"/>
          <w:sz w:val="20"/>
          <w:szCs w:val="20"/>
          <w:shd w:val="clear" w:color="auto" w:fill="FFFFFF"/>
        </w:rPr>
      </w:pPr>
      <w:r w:rsidRPr="000A03F1">
        <w:rPr>
          <w:rFonts w:ascii="Times New Roman" w:hAnsi="Times New Roman" w:cs="Times New Roman"/>
          <w:sz w:val="20"/>
          <w:szCs w:val="20"/>
          <w:shd w:val="clear" w:color="auto" w:fill="FFFFFF"/>
          <w:vertAlign w:val="superscript"/>
        </w:rPr>
        <w:t>†</w:t>
      </w:r>
      <w:r w:rsidRPr="000A03F1">
        <w:rPr>
          <w:rFonts w:ascii="Times New Roman" w:hAnsi="Times New Roman" w:cs="Times New Roman"/>
          <w:sz w:val="20"/>
          <w:szCs w:val="20"/>
          <w:shd w:val="clear" w:color="auto" w:fill="FFFFFF"/>
        </w:rPr>
        <w:t>Screening coverage was calculated based on the seroprevalence, SP</w:t>
      </w:r>
      <w:r w:rsidRPr="000A03F1">
        <w:rPr>
          <w:rFonts w:ascii="Times New Roman" w:hAnsi="Times New Roman" w:cs="Times New Roman"/>
          <w:sz w:val="20"/>
          <w:szCs w:val="20"/>
          <w:shd w:val="clear" w:color="auto" w:fill="FFFFFF"/>
          <w:vertAlign w:val="subscript"/>
        </w:rPr>
        <w:t>A</w:t>
      </w:r>
      <w:r w:rsidRPr="000A03F1">
        <w:rPr>
          <w:rFonts w:ascii="Times New Roman" w:hAnsi="Times New Roman" w:cs="Times New Roman"/>
          <w:sz w:val="20"/>
          <w:szCs w:val="20"/>
          <w:shd w:val="clear" w:color="auto" w:fill="FFFFFF"/>
        </w:rPr>
        <w:t>, and vaccine coverage to achieve target coverage of 88%</w:t>
      </w:r>
    </w:p>
    <w:p w14:paraId="39F9024D" w14:textId="77777777" w:rsidR="00CE5A47" w:rsidRPr="000A03F1" w:rsidRDefault="00CE5A47" w:rsidP="00C7218E">
      <w:pPr>
        <w:spacing w:line="240" w:lineRule="auto"/>
        <w:contextualSpacing/>
        <w:jc w:val="both"/>
        <w:rPr>
          <w:rFonts w:ascii="Times New Roman" w:hAnsi="Times New Roman" w:cs="Times New Roman"/>
          <w:sz w:val="20"/>
          <w:szCs w:val="20"/>
          <w:shd w:val="clear" w:color="auto" w:fill="FFFFFF"/>
        </w:rPr>
      </w:pPr>
      <w:r w:rsidRPr="000A03F1">
        <w:rPr>
          <w:rFonts w:ascii="Times New Roman" w:hAnsi="Times New Roman" w:cs="Times New Roman"/>
          <w:sz w:val="20"/>
          <w:szCs w:val="20"/>
          <w:shd w:val="clear" w:color="auto" w:fill="FFFFFF"/>
          <w:vertAlign w:val="superscript"/>
        </w:rPr>
        <w:t>‡</w:t>
      </w:r>
      <w:r w:rsidRPr="000A03F1">
        <w:rPr>
          <w:rFonts w:ascii="Times New Roman" w:hAnsi="Times New Roman" w:cs="Times New Roman"/>
          <w:sz w:val="20"/>
          <w:szCs w:val="20"/>
          <w:shd w:val="clear" w:color="auto" w:fill="FFFFFF"/>
        </w:rPr>
        <w:t>Vaccine coverage of the target population, the age group A.</w:t>
      </w:r>
    </w:p>
    <w:p w14:paraId="20DA0B28" w14:textId="77777777" w:rsidR="00CE5A47" w:rsidRPr="000A03F1" w:rsidRDefault="00CE5A47" w:rsidP="00C7218E">
      <w:pPr>
        <w:spacing w:line="240" w:lineRule="auto"/>
        <w:contextualSpacing/>
        <w:jc w:val="both"/>
        <w:rPr>
          <w:rFonts w:ascii="Times New Roman" w:hAnsi="Times New Roman" w:cs="Times New Roman"/>
          <w:sz w:val="20"/>
          <w:szCs w:val="20"/>
        </w:rPr>
      </w:pPr>
      <w:r w:rsidRPr="000A03F1">
        <w:rPr>
          <w:rFonts w:ascii="Times New Roman" w:hAnsi="Times New Roman" w:cs="Times New Roman"/>
          <w:sz w:val="20"/>
          <w:szCs w:val="20"/>
          <w:shd w:val="clear" w:color="auto" w:fill="FFFFFF"/>
        </w:rPr>
        <w:t>Abbreviation: SN</w:t>
      </w:r>
      <w:r w:rsidRPr="000A03F1">
        <w:rPr>
          <w:rFonts w:ascii="Times New Roman" w:hAnsi="Times New Roman" w:cs="Times New Roman"/>
          <w:sz w:val="20"/>
          <w:szCs w:val="20"/>
          <w:shd w:val="clear" w:color="auto" w:fill="FFFFFF"/>
          <w:vertAlign w:val="subscript"/>
        </w:rPr>
        <w:t>A</w:t>
      </w:r>
      <w:r w:rsidRPr="000A03F1">
        <w:rPr>
          <w:rFonts w:ascii="Times New Roman" w:hAnsi="Times New Roman" w:cs="Times New Roman"/>
          <w:sz w:val="20"/>
          <w:szCs w:val="20"/>
          <w:shd w:val="clear" w:color="auto" w:fill="FFFFFF"/>
        </w:rPr>
        <w:t xml:space="preserve"> (the prevalence of seronegative individuals in age group A); SP</w:t>
      </w:r>
      <w:r w:rsidRPr="000A03F1">
        <w:rPr>
          <w:rFonts w:ascii="Times New Roman" w:hAnsi="Times New Roman" w:cs="Times New Roman"/>
          <w:sz w:val="20"/>
          <w:szCs w:val="20"/>
          <w:shd w:val="clear" w:color="auto" w:fill="FFFFFF"/>
          <w:vertAlign w:val="subscript"/>
        </w:rPr>
        <w:t>A</w:t>
      </w:r>
      <w:r w:rsidRPr="000A03F1">
        <w:rPr>
          <w:rFonts w:ascii="Times New Roman" w:hAnsi="Times New Roman" w:cs="Times New Roman"/>
          <w:sz w:val="20"/>
          <w:szCs w:val="20"/>
          <w:shd w:val="clear" w:color="auto" w:fill="FFFFFF"/>
        </w:rPr>
        <w:t xml:space="preserve"> (the prevalence of seropositive individuals in age group B).</w:t>
      </w:r>
    </w:p>
    <w:p w14:paraId="1BAE048F" w14:textId="366CD0B3" w:rsidR="0058018A" w:rsidRPr="000A03F1" w:rsidRDefault="00730FF6" w:rsidP="00730FF6">
      <w:pPr>
        <w:pStyle w:val="Heading2"/>
        <w:rPr>
          <w:rFonts w:ascii="Times New Roman" w:hAnsi="Times New Roman" w:cs="Times New Roman"/>
        </w:rPr>
      </w:pPr>
      <w:r w:rsidRPr="000A03F1">
        <w:rPr>
          <w:rFonts w:ascii="Times New Roman" w:hAnsi="Times New Roman" w:cs="Times New Roman"/>
        </w:rPr>
        <w:t>2.</w:t>
      </w:r>
      <w:r w:rsidR="003E4A99" w:rsidRPr="000A03F1">
        <w:rPr>
          <w:rFonts w:ascii="Times New Roman" w:hAnsi="Times New Roman" w:cs="Times New Roman"/>
        </w:rPr>
        <w:t>5</w:t>
      </w:r>
      <w:r w:rsidRPr="000A03F1">
        <w:rPr>
          <w:rFonts w:ascii="Times New Roman" w:hAnsi="Times New Roman" w:cs="Times New Roman"/>
        </w:rPr>
        <w:t xml:space="preserve">. </w:t>
      </w:r>
      <w:r w:rsidR="0058018A" w:rsidRPr="000A03F1">
        <w:rPr>
          <w:rFonts w:ascii="Times New Roman" w:hAnsi="Times New Roman" w:cs="Times New Roman"/>
        </w:rPr>
        <w:t>Sensitivity analysis</w:t>
      </w:r>
    </w:p>
    <w:p w14:paraId="01ECB754" w14:textId="638FE135" w:rsidR="0068443A" w:rsidRPr="000A03F1" w:rsidRDefault="006770FB" w:rsidP="00644556">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dynamics of serotype dominance would be reproduced. </w:t>
      </w:r>
      <w:r w:rsidR="0068443A" w:rsidRPr="000A03F1">
        <w:rPr>
          <w:rFonts w:ascii="Times New Roman" w:hAnsi="Times New Roman" w:cs="Times New Roman"/>
          <w:sz w:val="24"/>
          <w:szCs w:val="24"/>
        </w:rPr>
        <w:t xml:space="preserve">To </w:t>
      </w:r>
      <w:r w:rsidR="00870014" w:rsidRPr="000A03F1">
        <w:rPr>
          <w:rFonts w:ascii="Times New Roman" w:hAnsi="Times New Roman" w:cs="Times New Roman"/>
          <w:sz w:val="24"/>
          <w:szCs w:val="24"/>
        </w:rPr>
        <w:t>account</w:t>
      </w:r>
      <w:r w:rsidR="00332C4C" w:rsidRPr="000A03F1">
        <w:rPr>
          <w:rFonts w:ascii="Times New Roman" w:hAnsi="Times New Roman" w:cs="Times New Roman"/>
          <w:sz w:val="24"/>
          <w:szCs w:val="24"/>
        </w:rPr>
        <w:t xml:space="preserve"> for</w:t>
      </w:r>
      <w:r w:rsidR="0068443A" w:rsidRPr="000A03F1">
        <w:rPr>
          <w:rFonts w:ascii="Times New Roman" w:hAnsi="Times New Roman" w:cs="Times New Roman"/>
          <w:sz w:val="24"/>
          <w:szCs w:val="24"/>
        </w:rPr>
        <w:t xml:space="preserve"> the influence of serotype dominance on vaccination outcomes, we re-ran each scenario using four different timing assumptions. These assumptions corresponded to the periods when each DENV serotype was most prevalent in the population.</w:t>
      </w:r>
    </w:p>
    <w:p w14:paraId="75B0CC68" w14:textId="2D04BEFB" w:rsidR="00CE5A47" w:rsidRPr="000A03F1" w:rsidRDefault="00F469E2" w:rsidP="00F469E2">
      <w:pPr>
        <w:pStyle w:val="Heading1"/>
        <w:rPr>
          <w:rFonts w:ascii="Times New Roman" w:hAnsi="Times New Roman" w:cs="Times New Roman"/>
        </w:rPr>
      </w:pPr>
      <w:r w:rsidRPr="000A03F1">
        <w:rPr>
          <w:rFonts w:ascii="Times New Roman" w:hAnsi="Times New Roman" w:cs="Times New Roman"/>
        </w:rPr>
        <w:t>3. Results</w:t>
      </w:r>
    </w:p>
    <w:p w14:paraId="523943A9" w14:textId="007772B7" w:rsidR="00CE5A47" w:rsidRPr="000A03F1" w:rsidRDefault="00CE5A47"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To determine the optimal cut-off for the target population eligible for vaccination and screening, the overall population was divided into two different age groups. The younger age group was identified as the intended recipients of the vaccine and/or screening interventions.</w:t>
      </w:r>
    </w:p>
    <w:p w14:paraId="68334482" w14:textId="6B8954C7" w:rsidR="00CE5A47" w:rsidRPr="000A03F1" w:rsidRDefault="00330653" w:rsidP="00330653">
      <w:pPr>
        <w:pStyle w:val="Heading2"/>
        <w:rPr>
          <w:rFonts w:ascii="Times New Roman" w:hAnsi="Times New Roman" w:cs="Times New Roman"/>
        </w:rPr>
      </w:pPr>
      <w:r w:rsidRPr="000A03F1">
        <w:rPr>
          <w:rFonts w:ascii="Times New Roman" w:hAnsi="Times New Roman" w:cs="Times New Roman"/>
        </w:rPr>
        <w:lastRenderedPageBreak/>
        <w:t xml:space="preserve">3.1. </w:t>
      </w:r>
      <w:r w:rsidR="0068443A" w:rsidRPr="000A03F1">
        <w:rPr>
          <w:rFonts w:ascii="Times New Roman" w:hAnsi="Times New Roman" w:cs="Times New Roman"/>
        </w:rPr>
        <w:t>Training the epidemiological data</w:t>
      </w:r>
    </w:p>
    <w:p w14:paraId="11D814C2" w14:textId="4C5E8E87" w:rsidR="00CE5A47" w:rsidRPr="000A03F1" w:rsidRDefault="001D3DB5" w:rsidP="00741A05">
      <w:pPr>
        <w:spacing w:line="480" w:lineRule="auto"/>
        <w:contextualSpacing/>
        <w:rPr>
          <w:rFonts w:ascii="Times New Roman" w:hAnsi="Times New Roman" w:cs="Times New Roman"/>
          <w:sz w:val="24"/>
          <w:szCs w:val="24"/>
        </w:rPr>
      </w:pPr>
      <w:r w:rsidRPr="000A03F1">
        <w:rPr>
          <w:rFonts w:ascii="Times New Roman" w:hAnsi="Times New Roman" w:cs="Times New Roman"/>
          <w:noProof/>
          <w:sz w:val="24"/>
          <w:szCs w:val="24"/>
        </w:rPr>
        <w:drawing>
          <wp:inline distT="0" distB="0" distL="0" distR="0" wp14:anchorId="6943D215" wp14:editId="5041618F">
            <wp:extent cx="5940000" cy="3276462"/>
            <wp:effectExtent l="0" t="0" r="3810" b="635"/>
            <wp:docPr id="1680370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000" cy="3276462"/>
                    </a:xfrm>
                    <a:prstGeom prst="rect">
                      <a:avLst/>
                    </a:prstGeom>
                    <a:noFill/>
                  </pic:spPr>
                </pic:pic>
              </a:graphicData>
            </a:graphic>
          </wp:inline>
        </w:drawing>
      </w:r>
    </w:p>
    <w:p w14:paraId="29A10EAD" w14:textId="6A951E33" w:rsidR="00CE5A47" w:rsidRPr="000A03F1" w:rsidRDefault="00CE5A47" w:rsidP="000F36A9">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 xml:space="preserve">Figure </w:t>
      </w:r>
      <w:r w:rsidR="00EB55FB" w:rsidRPr="000A03F1">
        <w:rPr>
          <w:rFonts w:ascii="Times New Roman" w:hAnsi="Times New Roman" w:cs="Times New Roman"/>
          <w:b/>
          <w:sz w:val="20"/>
          <w:szCs w:val="20"/>
        </w:rPr>
        <w:t>3</w:t>
      </w:r>
      <w:r w:rsidRPr="000A03F1">
        <w:rPr>
          <w:rFonts w:ascii="Times New Roman" w:hAnsi="Times New Roman" w:cs="Times New Roman"/>
          <w:b/>
          <w:sz w:val="20"/>
          <w:szCs w:val="20"/>
        </w:rPr>
        <w:t>.</w:t>
      </w:r>
      <w:r w:rsidRPr="000A03F1">
        <w:rPr>
          <w:rFonts w:ascii="Times New Roman" w:hAnsi="Times New Roman" w:cs="Times New Roman"/>
          <w:sz w:val="20"/>
          <w:szCs w:val="20"/>
        </w:rPr>
        <w:t xml:space="preserve"> Cumulative incidence </w:t>
      </w:r>
      <w:r w:rsidR="001711A6" w:rsidRPr="000A03F1">
        <w:rPr>
          <w:rFonts w:ascii="Times New Roman" w:hAnsi="Times New Roman" w:cs="Times New Roman"/>
          <w:sz w:val="20"/>
          <w:szCs w:val="20"/>
        </w:rPr>
        <w:t xml:space="preserve">stratified by age </w:t>
      </w:r>
      <w:r w:rsidRPr="000A03F1">
        <w:rPr>
          <w:rFonts w:ascii="Times New Roman" w:hAnsi="Times New Roman" w:cs="Times New Roman"/>
          <w:sz w:val="20"/>
          <w:szCs w:val="20"/>
        </w:rPr>
        <w:t xml:space="preserve">from January 2017 to </w:t>
      </w:r>
      <w:r w:rsidR="00C97B10" w:rsidRPr="000A03F1">
        <w:rPr>
          <w:rFonts w:ascii="Times New Roman" w:hAnsi="Times New Roman" w:cs="Times New Roman"/>
          <w:sz w:val="20"/>
          <w:szCs w:val="20"/>
        </w:rPr>
        <w:t>December</w:t>
      </w:r>
      <w:r w:rsidRPr="000A03F1">
        <w:rPr>
          <w:rFonts w:ascii="Times New Roman" w:hAnsi="Times New Roman" w:cs="Times New Roman"/>
          <w:sz w:val="20"/>
          <w:szCs w:val="20"/>
        </w:rPr>
        <w:t xml:space="preserve"> 202</w:t>
      </w:r>
      <w:r w:rsidR="00C97B10" w:rsidRPr="000A03F1">
        <w:rPr>
          <w:rFonts w:ascii="Times New Roman" w:hAnsi="Times New Roman" w:cs="Times New Roman"/>
          <w:sz w:val="20"/>
          <w:szCs w:val="20"/>
        </w:rPr>
        <w:t>2</w:t>
      </w:r>
      <w:r w:rsidR="00327139" w:rsidRPr="000A03F1">
        <w:rPr>
          <w:rFonts w:ascii="Times New Roman" w:hAnsi="Times New Roman" w:cs="Times New Roman"/>
          <w:sz w:val="20"/>
          <w:szCs w:val="20"/>
        </w:rPr>
        <w:t xml:space="preserve"> (A-G)</w:t>
      </w:r>
      <w:r w:rsidRPr="000A03F1">
        <w:rPr>
          <w:rFonts w:ascii="Times New Roman" w:hAnsi="Times New Roman" w:cs="Times New Roman"/>
          <w:sz w:val="20"/>
          <w:szCs w:val="20"/>
        </w:rPr>
        <w:t>.</w:t>
      </w:r>
      <w:r w:rsidR="00327139" w:rsidRPr="000A03F1">
        <w:rPr>
          <w:rFonts w:ascii="Times New Roman" w:hAnsi="Times New Roman" w:cs="Times New Roman"/>
          <w:sz w:val="20"/>
          <w:szCs w:val="20"/>
        </w:rPr>
        <w:t xml:space="preserve"> </w:t>
      </w:r>
      <w:r w:rsidR="001711A6" w:rsidRPr="000A03F1">
        <w:rPr>
          <w:rFonts w:ascii="Times New Roman" w:hAnsi="Times New Roman" w:cs="Times New Roman"/>
          <w:sz w:val="20"/>
          <w:szCs w:val="20"/>
        </w:rPr>
        <w:t>T</w:t>
      </w:r>
      <w:r w:rsidR="00F73EC3" w:rsidRPr="000A03F1">
        <w:rPr>
          <w:rFonts w:ascii="Times New Roman" w:hAnsi="Times New Roman" w:cs="Times New Roman"/>
          <w:sz w:val="20"/>
          <w:szCs w:val="20"/>
        </w:rPr>
        <w:t>he Special Capital Region of Jakarta (A), and of its administrative regions of Central Jakarta (B), East Jakarta (C), North Jakarta (D), Thousand Islands (E), South Jakarta (F), and West Jakarta (G).</w:t>
      </w:r>
    </w:p>
    <w:p w14:paraId="7C3DA4A5" w14:textId="77777777" w:rsidR="003A0A6A" w:rsidRPr="000A03F1" w:rsidRDefault="003A0A6A" w:rsidP="00741A05">
      <w:pPr>
        <w:spacing w:line="480" w:lineRule="auto"/>
        <w:ind w:firstLine="720"/>
        <w:contextualSpacing/>
        <w:jc w:val="both"/>
        <w:rPr>
          <w:rFonts w:ascii="Times New Roman" w:hAnsi="Times New Roman" w:cs="Times New Roman"/>
          <w:sz w:val="24"/>
          <w:szCs w:val="24"/>
        </w:rPr>
      </w:pPr>
    </w:p>
    <w:p w14:paraId="22BCBF2B" w14:textId="4CDD5BA8" w:rsidR="00CE5A47" w:rsidRPr="000A03F1" w:rsidRDefault="00424DCB" w:rsidP="003211BF">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Jakarta, officially the Special Capital Region of Jakarta, administratively consists of 5 cities—Central Jakarta, North Jakarta, West Jakarta, South Jakarta, East Jakarta—and 1 municipality—</w:t>
      </w:r>
      <w:r w:rsidR="005D4C1A" w:rsidRPr="000A03F1">
        <w:rPr>
          <w:rFonts w:ascii="Times New Roman" w:hAnsi="Times New Roman" w:cs="Times New Roman"/>
          <w:sz w:val="24"/>
          <w:szCs w:val="24"/>
        </w:rPr>
        <w:t>Thousand Islands</w:t>
      </w:r>
      <w:r w:rsidRPr="000A03F1">
        <w:rPr>
          <w:rFonts w:ascii="Times New Roman" w:hAnsi="Times New Roman" w:cs="Times New Roman"/>
          <w:sz w:val="24"/>
          <w:szCs w:val="24"/>
        </w:rPr>
        <w:t xml:space="preserve">. </w:t>
      </w:r>
      <w:r w:rsidR="00CE5A47" w:rsidRPr="000A03F1">
        <w:rPr>
          <w:rFonts w:ascii="Times New Roman" w:hAnsi="Times New Roman" w:cs="Times New Roman"/>
          <w:sz w:val="24"/>
          <w:szCs w:val="24"/>
        </w:rPr>
        <w:t xml:space="preserve">Given that the reported data </w:t>
      </w:r>
      <w:r w:rsidRPr="000A03F1">
        <w:rPr>
          <w:rFonts w:ascii="Times New Roman" w:hAnsi="Times New Roman" w:cs="Times New Roman"/>
          <w:sz w:val="24"/>
          <w:szCs w:val="24"/>
        </w:rPr>
        <w:t xml:space="preserve">from each of these administrative boundaries </w:t>
      </w:r>
      <w:r w:rsidR="00CE5A47" w:rsidRPr="000A03F1">
        <w:rPr>
          <w:rFonts w:ascii="Times New Roman" w:hAnsi="Times New Roman" w:cs="Times New Roman"/>
          <w:sz w:val="24"/>
          <w:szCs w:val="24"/>
        </w:rPr>
        <w:t xml:space="preserve">were categorised into various age intervals, a weighting process was applied to the monthly incidence data, </w:t>
      </w:r>
      <w:r w:rsidR="003265EF" w:rsidRPr="000A03F1">
        <w:rPr>
          <w:rFonts w:ascii="Times New Roman" w:hAnsi="Times New Roman" w:cs="Times New Roman"/>
          <w:sz w:val="24"/>
          <w:szCs w:val="24"/>
        </w:rPr>
        <w:t>considering</w:t>
      </w:r>
      <w:r w:rsidR="00CE5A47" w:rsidRPr="000A03F1">
        <w:rPr>
          <w:rFonts w:ascii="Times New Roman" w:hAnsi="Times New Roman" w:cs="Times New Roman"/>
          <w:sz w:val="24"/>
          <w:szCs w:val="24"/>
        </w:rPr>
        <w:t xml:space="preserve"> the age intervals of 0-4 to 15-19 with a 5-year interval, 20-44 with a 25-year interval, and the remaining age groups with a 10-year interval. Upon analysing the 5-year cumulative incidence across different age groups, the breakpoint was </w:t>
      </w:r>
      <w:r w:rsidR="008C7E0D" w:rsidRPr="000A03F1">
        <w:rPr>
          <w:rFonts w:ascii="Times New Roman" w:hAnsi="Times New Roman" w:cs="Times New Roman"/>
          <w:sz w:val="24"/>
          <w:szCs w:val="24"/>
        </w:rPr>
        <w:t>obtained</w:t>
      </w:r>
      <w:r w:rsidR="00CE5A47" w:rsidRPr="000A03F1">
        <w:rPr>
          <w:rFonts w:ascii="Times New Roman" w:hAnsi="Times New Roman" w:cs="Times New Roman"/>
          <w:sz w:val="24"/>
          <w:szCs w:val="24"/>
        </w:rPr>
        <w:t xml:space="preserve"> at the age group 10-14 (</w:t>
      </w:r>
      <w:r w:rsidR="00CE5A47" w:rsidRPr="000A03F1">
        <w:rPr>
          <w:rFonts w:ascii="Times New Roman" w:hAnsi="Times New Roman" w:cs="Times New Roman"/>
          <w:b/>
          <w:sz w:val="24"/>
          <w:szCs w:val="24"/>
        </w:rPr>
        <w:t xml:space="preserve">fig. </w:t>
      </w:r>
      <w:r w:rsidR="00A3607E" w:rsidRPr="000A03F1">
        <w:rPr>
          <w:rFonts w:ascii="Times New Roman" w:hAnsi="Times New Roman" w:cs="Times New Roman"/>
          <w:b/>
          <w:sz w:val="24"/>
          <w:szCs w:val="24"/>
        </w:rPr>
        <w:t>3</w:t>
      </w:r>
      <w:r w:rsidR="00CE5A47" w:rsidRPr="000A03F1">
        <w:rPr>
          <w:rFonts w:ascii="Times New Roman" w:hAnsi="Times New Roman" w:cs="Times New Roman"/>
          <w:sz w:val="24"/>
          <w:szCs w:val="24"/>
        </w:rPr>
        <w:t>)</w:t>
      </w:r>
      <w:r w:rsidR="003265EF" w:rsidRPr="000A03F1">
        <w:rPr>
          <w:rFonts w:ascii="Times New Roman" w:hAnsi="Times New Roman" w:cs="Times New Roman"/>
          <w:sz w:val="24"/>
          <w:szCs w:val="24"/>
        </w:rPr>
        <w:t xml:space="preserve">, thereby, dividing </w:t>
      </w:r>
      <w:r w:rsidR="00496CE3" w:rsidRPr="000A03F1">
        <w:rPr>
          <w:rFonts w:ascii="Times New Roman" w:hAnsi="Times New Roman" w:cs="Times New Roman"/>
          <w:sz w:val="24"/>
          <w:szCs w:val="24"/>
        </w:rPr>
        <w:t xml:space="preserve">the </w:t>
      </w:r>
      <w:r w:rsidR="003265EF" w:rsidRPr="000A03F1">
        <w:rPr>
          <w:rFonts w:ascii="Times New Roman" w:hAnsi="Times New Roman" w:cs="Times New Roman"/>
          <w:sz w:val="24"/>
          <w:szCs w:val="24"/>
        </w:rPr>
        <w:t xml:space="preserve">population into </w:t>
      </w:r>
      <w:r w:rsidR="00F87150" w:rsidRPr="000A03F1">
        <w:rPr>
          <w:rFonts w:ascii="Times New Roman" w:hAnsi="Times New Roman" w:cs="Times New Roman"/>
          <w:sz w:val="24"/>
          <w:szCs w:val="24"/>
        </w:rPr>
        <w:t>two age groups</w:t>
      </w:r>
      <w:r w:rsidR="00AC4142" w:rsidRPr="000A03F1">
        <w:rPr>
          <w:rFonts w:ascii="Times New Roman" w:hAnsi="Times New Roman" w:cs="Times New Roman"/>
          <w:sz w:val="24"/>
          <w:szCs w:val="24"/>
        </w:rPr>
        <w:t xml:space="preserve">, </w:t>
      </w:r>
      <w:r w:rsidR="003A396A" w:rsidRPr="000A03F1">
        <w:rPr>
          <w:rFonts w:ascii="Times New Roman" w:hAnsi="Times New Roman" w:cs="Times New Roman"/>
          <w:sz w:val="24"/>
          <w:szCs w:val="24"/>
        </w:rPr>
        <w:t>0-14</w:t>
      </w:r>
      <w:r w:rsidR="003265EF" w:rsidRPr="000A03F1">
        <w:rPr>
          <w:rFonts w:ascii="Times New Roman" w:hAnsi="Times New Roman" w:cs="Times New Roman"/>
          <w:sz w:val="24"/>
          <w:szCs w:val="24"/>
        </w:rPr>
        <w:t xml:space="preserve"> and 15</w:t>
      </w:r>
      <w:r w:rsidR="00680B63" w:rsidRPr="000A03F1">
        <w:rPr>
          <w:rFonts w:ascii="Times New Roman" w:hAnsi="Times New Roman" w:cs="Times New Roman"/>
          <w:sz w:val="24"/>
          <w:szCs w:val="24"/>
        </w:rPr>
        <w:t>-</w:t>
      </w:r>
      <w:r w:rsidR="00016B1E" w:rsidRPr="000A03F1">
        <w:rPr>
          <w:rFonts w:ascii="Times New Roman" w:hAnsi="Times New Roman" w:cs="Times New Roman"/>
          <w:sz w:val="24"/>
          <w:szCs w:val="24"/>
        </w:rPr>
        <w:t>75</w:t>
      </w:r>
      <w:r w:rsidR="003265EF" w:rsidRPr="000A03F1">
        <w:rPr>
          <w:rFonts w:ascii="Times New Roman" w:hAnsi="Times New Roman" w:cs="Times New Roman"/>
          <w:sz w:val="24"/>
          <w:szCs w:val="24"/>
        </w:rPr>
        <w:t>+ years old.</w:t>
      </w:r>
    </w:p>
    <w:p w14:paraId="69FCCA23" w14:textId="529F53C7" w:rsidR="00CE5A47" w:rsidRPr="000A03F1" w:rsidRDefault="00AC2EB8" w:rsidP="00741A05">
      <w:pPr>
        <w:spacing w:line="480" w:lineRule="auto"/>
        <w:contextualSpacing/>
        <w:rPr>
          <w:rFonts w:ascii="Times New Roman" w:hAnsi="Times New Roman" w:cs="Times New Roman"/>
          <w:sz w:val="24"/>
          <w:szCs w:val="24"/>
        </w:rPr>
      </w:pPr>
      <w:r w:rsidRPr="000A03F1">
        <w:rPr>
          <w:rFonts w:ascii="Times New Roman" w:hAnsi="Times New Roman" w:cs="Times New Roman"/>
          <w:noProof/>
          <w:sz w:val="24"/>
          <w:szCs w:val="24"/>
        </w:rPr>
        <w:lastRenderedPageBreak/>
        <w:drawing>
          <wp:inline distT="0" distB="0" distL="0" distR="0" wp14:anchorId="3D19824F" wp14:editId="18955753">
            <wp:extent cx="5940000" cy="3250757"/>
            <wp:effectExtent l="0" t="0" r="3810" b="6985"/>
            <wp:docPr id="1206112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000" cy="3250757"/>
                    </a:xfrm>
                    <a:prstGeom prst="rect">
                      <a:avLst/>
                    </a:prstGeom>
                    <a:noFill/>
                  </pic:spPr>
                </pic:pic>
              </a:graphicData>
            </a:graphic>
          </wp:inline>
        </w:drawing>
      </w:r>
    </w:p>
    <w:p w14:paraId="21E39B26" w14:textId="7AE123BE" w:rsidR="00CE5A47" w:rsidRPr="000A03F1" w:rsidRDefault="00CE5A47" w:rsidP="00741A05">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 xml:space="preserve">Figure </w:t>
      </w:r>
      <w:r w:rsidR="00C574E1" w:rsidRPr="000A03F1">
        <w:rPr>
          <w:rFonts w:ascii="Times New Roman" w:hAnsi="Times New Roman" w:cs="Times New Roman"/>
          <w:b/>
          <w:sz w:val="20"/>
          <w:szCs w:val="20"/>
        </w:rPr>
        <w:t>4</w:t>
      </w:r>
      <w:r w:rsidRPr="000A03F1">
        <w:rPr>
          <w:rFonts w:ascii="Times New Roman" w:hAnsi="Times New Roman" w:cs="Times New Roman"/>
          <w:b/>
          <w:sz w:val="20"/>
          <w:szCs w:val="20"/>
        </w:rPr>
        <w:t>.</w:t>
      </w:r>
      <w:r w:rsidRPr="000A03F1">
        <w:rPr>
          <w:rFonts w:ascii="Times New Roman" w:hAnsi="Times New Roman" w:cs="Times New Roman"/>
          <w:sz w:val="20"/>
          <w:szCs w:val="20"/>
        </w:rPr>
        <w:t xml:space="preserve"> Reported monthly DHF incidence for age group A (0 to14) and age group B (15 to 75+)</w:t>
      </w:r>
      <w:r w:rsidRPr="000A03F1">
        <w:rPr>
          <w:rFonts w:ascii="Times New Roman" w:hAnsi="Times New Roman" w:cs="Times New Roman"/>
          <w:b/>
          <w:sz w:val="20"/>
          <w:szCs w:val="20"/>
        </w:rPr>
        <w:t xml:space="preserve"> </w:t>
      </w:r>
      <w:r w:rsidRPr="000A03F1">
        <w:rPr>
          <w:rFonts w:ascii="Times New Roman" w:hAnsi="Times New Roman" w:cs="Times New Roman"/>
          <w:sz w:val="20"/>
          <w:szCs w:val="20"/>
        </w:rPr>
        <w:t>represented by red and blue lines, respectively</w:t>
      </w:r>
      <w:r w:rsidR="00AC3218" w:rsidRPr="000A03F1">
        <w:rPr>
          <w:rFonts w:ascii="Times New Roman" w:hAnsi="Times New Roman" w:cs="Times New Roman"/>
          <w:sz w:val="20"/>
          <w:szCs w:val="20"/>
        </w:rPr>
        <w:t xml:space="preserve"> (A-G)</w:t>
      </w:r>
      <w:r w:rsidRPr="000A03F1">
        <w:rPr>
          <w:rFonts w:ascii="Times New Roman" w:hAnsi="Times New Roman" w:cs="Times New Roman"/>
          <w:sz w:val="20"/>
          <w:szCs w:val="20"/>
        </w:rPr>
        <w:t xml:space="preserve">. The monthly incidence </w:t>
      </w:r>
      <w:r w:rsidR="00424DCB" w:rsidRPr="000A03F1">
        <w:rPr>
          <w:rFonts w:ascii="Times New Roman" w:hAnsi="Times New Roman" w:cs="Times New Roman"/>
          <w:sz w:val="20"/>
          <w:szCs w:val="20"/>
        </w:rPr>
        <w:t>of the Special Capital Region of Jakarta (</w:t>
      </w:r>
      <w:r w:rsidR="00700FAB" w:rsidRPr="000A03F1">
        <w:rPr>
          <w:rFonts w:ascii="Times New Roman" w:hAnsi="Times New Roman" w:cs="Times New Roman"/>
          <w:sz w:val="20"/>
          <w:szCs w:val="20"/>
        </w:rPr>
        <w:t>A</w:t>
      </w:r>
      <w:r w:rsidR="00424DCB" w:rsidRPr="000A03F1">
        <w:rPr>
          <w:rFonts w:ascii="Times New Roman" w:hAnsi="Times New Roman" w:cs="Times New Roman"/>
          <w:sz w:val="20"/>
          <w:szCs w:val="20"/>
        </w:rPr>
        <w:t>), and of its administrative regions of Central Jakarta (</w:t>
      </w:r>
      <w:r w:rsidR="00700FAB" w:rsidRPr="000A03F1">
        <w:rPr>
          <w:rFonts w:ascii="Times New Roman" w:hAnsi="Times New Roman" w:cs="Times New Roman"/>
          <w:sz w:val="20"/>
          <w:szCs w:val="20"/>
        </w:rPr>
        <w:t>B</w:t>
      </w:r>
      <w:r w:rsidR="00424DCB" w:rsidRPr="000A03F1">
        <w:rPr>
          <w:rFonts w:ascii="Times New Roman" w:hAnsi="Times New Roman" w:cs="Times New Roman"/>
          <w:sz w:val="20"/>
          <w:szCs w:val="20"/>
        </w:rPr>
        <w:t>), East Jakarta (</w:t>
      </w:r>
      <w:r w:rsidR="00700FAB" w:rsidRPr="000A03F1">
        <w:rPr>
          <w:rFonts w:ascii="Times New Roman" w:hAnsi="Times New Roman" w:cs="Times New Roman"/>
          <w:sz w:val="20"/>
          <w:szCs w:val="20"/>
        </w:rPr>
        <w:t>C</w:t>
      </w:r>
      <w:r w:rsidR="00424DCB" w:rsidRPr="000A03F1">
        <w:rPr>
          <w:rFonts w:ascii="Times New Roman" w:hAnsi="Times New Roman" w:cs="Times New Roman"/>
          <w:sz w:val="20"/>
          <w:szCs w:val="20"/>
        </w:rPr>
        <w:t>), North Jakarta (</w:t>
      </w:r>
      <w:r w:rsidR="00700FAB" w:rsidRPr="000A03F1">
        <w:rPr>
          <w:rFonts w:ascii="Times New Roman" w:hAnsi="Times New Roman" w:cs="Times New Roman"/>
          <w:sz w:val="20"/>
          <w:szCs w:val="20"/>
        </w:rPr>
        <w:t>D</w:t>
      </w:r>
      <w:r w:rsidR="00424DCB" w:rsidRPr="000A03F1">
        <w:rPr>
          <w:rFonts w:ascii="Times New Roman" w:hAnsi="Times New Roman" w:cs="Times New Roman"/>
          <w:sz w:val="20"/>
          <w:szCs w:val="20"/>
        </w:rPr>
        <w:t xml:space="preserve">), </w:t>
      </w:r>
      <w:r w:rsidR="005D4C1A" w:rsidRPr="000A03F1">
        <w:rPr>
          <w:rFonts w:ascii="Times New Roman" w:hAnsi="Times New Roman" w:cs="Times New Roman"/>
          <w:sz w:val="20"/>
          <w:szCs w:val="20"/>
        </w:rPr>
        <w:t>Thousand Islands</w:t>
      </w:r>
      <w:r w:rsidR="00424DCB" w:rsidRPr="000A03F1">
        <w:rPr>
          <w:rFonts w:ascii="Times New Roman" w:hAnsi="Times New Roman" w:cs="Times New Roman"/>
          <w:sz w:val="20"/>
          <w:szCs w:val="20"/>
        </w:rPr>
        <w:t xml:space="preserve"> (</w:t>
      </w:r>
      <w:r w:rsidR="00700FAB" w:rsidRPr="000A03F1">
        <w:rPr>
          <w:rFonts w:ascii="Times New Roman" w:hAnsi="Times New Roman" w:cs="Times New Roman"/>
          <w:sz w:val="20"/>
          <w:szCs w:val="20"/>
        </w:rPr>
        <w:t>E</w:t>
      </w:r>
      <w:r w:rsidR="00424DCB" w:rsidRPr="000A03F1">
        <w:rPr>
          <w:rFonts w:ascii="Times New Roman" w:hAnsi="Times New Roman" w:cs="Times New Roman"/>
          <w:sz w:val="20"/>
          <w:szCs w:val="20"/>
        </w:rPr>
        <w:t>), South Jakarta (</w:t>
      </w:r>
      <w:r w:rsidR="00700FAB" w:rsidRPr="000A03F1">
        <w:rPr>
          <w:rFonts w:ascii="Times New Roman" w:hAnsi="Times New Roman" w:cs="Times New Roman"/>
          <w:sz w:val="20"/>
          <w:szCs w:val="20"/>
        </w:rPr>
        <w:t>F</w:t>
      </w:r>
      <w:r w:rsidR="00424DCB" w:rsidRPr="000A03F1">
        <w:rPr>
          <w:rFonts w:ascii="Times New Roman" w:hAnsi="Times New Roman" w:cs="Times New Roman"/>
          <w:sz w:val="20"/>
          <w:szCs w:val="20"/>
        </w:rPr>
        <w:t>), and West Jakarta (</w:t>
      </w:r>
      <w:r w:rsidR="00700FAB" w:rsidRPr="000A03F1">
        <w:rPr>
          <w:rFonts w:ascii="Times New Roman" w:hAnsi="Times New Roman" w:cs="Times New Roman"/>
          <w:sz w:val="20"/>
          <w:szCs w:val="20"/>
        </w:rPr>
        <w:t>G</w:t>
      </w:r>
      <w:r w:rsidR="00424DCB" w:rsidRPr="000A03F1">
        <w:rPr>
          <w:rFonts w:ascii="Times New Roman" w:hAnsi="Times New Roman" w:cs="Times New Roman"/>
          <w:sz w:val="20"/>
          <w:szCs w:val="20"/>
        </w:rPr>
        <w:t>).</w:t>
      </w:r>
    </w:p>
    <w:p w14:paraId="3D30DA0D" w14:textId="77777777" w:rsidR="00791ED7" w:rsidRPr="000A03F1" w:rsidRDefault="00791ED7" w:rsidP="00741A05">
      <w:pPr>
        <w:spacing w:line="480" w:lineRule="auto"/>
        <w:contextualSpacing/>
        <w:jc w:val="both"/>
        <w:rPr>
          <w:rFonts w:ascii="Times New Roman" w:hAnsi="Times New Roman" w:cs="Times New Roman"/>
          <w:sz w:val="20"/>
          <w:szCs w:val="20"/>
        </w:rPr>
      </w:pPr>
    </w:p>
    <w:p w14:paraId="33C3D301" w14:textId="07DD9191" w:rsidR="00CE5A47" w:rsidRPr="000A03F1" w:rsidRDefault="00CE5A47" w:rsidP="00741A05">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monthly DHF incidence of the two age groups from the period of January 2017 to </w:t>
      </w:r>
      <w:r w:rsidR="00693BC5" w:rsidRPr="000A03F1">
        <w:rPr>
          <w:rFonts w:ascii="Times New Roman" w:hAnsi="Times New Roman" w:cs="Times New Roman"/>
          <w:sz w:val="24"/>
          <w:szCs w:val="24"/>
        </w:rPr>
        <w:t>December</w:t>
      </w:r>
      <w:r w:rsidRPr="000A03F1">
        <w:rPr>
          <w:rFonts w:ascii="Times New Roman" w:hAnsi="Times New Roman" w:cs="Times New Roman"/>
          <w:sz w:val="24"/>
          <w:szCs w:val="24"/>
        </w:rPr>
        <w:t xml:space="preserve"> 202</w:t>
      </w:r>
      <w:r w:rsidR="00693BC5" w:rsidRPr="000A03F1">
        <w:rPr>
          <w:rFonts w:ascii="Times New Roman" w:hAnsi="Times New Roman" w:cs="Times New Roman"/>
          <w:sz w:val="24"/>
          <w:szCs w:val="24"/>
        </w:rPr>
        <w:t>2</w:t>
      </w:r>
      <w:r w:rsidRPr="000A03F1">
        <w:rPr>
          <w:rFonts w:ascii="Times New Roman" w:hAnsi="Times New Roman" w:cs="Times New Roman"/>
          <w:sz w:val="24"/>
          <w:szCs w:val="24"/>
        </w:rPr>
        <w:t xml:space="preserve"> were calculated (</w:t>
      </w:r>
      <w:r w:rsidRPr="000A03F1">
        <w:rPr>
          <w:rFonts w:ascii="Times New Roman" w:hAnsi="Times New Roman" w:cs="Times New Roman"/>
          <w:b/>
          <w:sz w:val="24"/>
          <w:szCs w:val="24"/>
        </w:rPr>
        <w:t xml:space="preserve">fig. </w:t>
      </w:r>
      <w:r w:rsidR="00D6533B" w:rsidRPr="000A03F1">
        <w:rPr>
          <w:rFonts w:ascii="Times New Roman" w:hAnsi="Times New Roman" w:cs="Times New Roman"/>
          <w:b/>
          <w:sz w:val="24"/>
          <w:szCs w:val="24"/>
        </w:rPr>
        <w:t>4</w:t>
      </w:r>
      <w:r w:rsidRPr="000A03F1">
        <w:rPr>
          <w:rFonts w:ascii="Times New Roman" w:hAnsi="Times New Roman" w:cs="Times New Roman"/>
          <w:sz w:val="24"/>
          <w:szCs w:val="24"/>
        </w:rPr>
        <w:t xml:space="preserve">). In this </w:t>
      </w:r>
      <w:r w:rsidR="00424DCB" w:rsidRPr="000A03F1">
        <w:rPr>
          <w:rFonts w:ascii="Times New Roman" w:hAnsi="Times New Roman" w:cs="Times New Roman"/>
          <w:sz w:val="24"/>
          <w:szCs w:val="24"/>
        </w:rPr>
        <w:t>period</w:t>
      </w:r>
      <w:r w:rsidRPr="000A03F1">
        <w:rPr>
          <w:rFonts w:ascii="Times New Roman" w:hAnsi="Times New Roman" w:cs="Times New Roman"/>
          <w:sz w:val="24"/>
          <w:szCs w:val="24"/>
        </w:rPr>
        <w:t xml:space="preserve">, there was inter-annual variability in addition to monthly variability in terms of the peaks in all cities except in </w:t>
      </w:r>
      <w:r w:rsidR="005D4C1A" w:rsidRPr="000A03F1">
        <w:rPr>
          <w:rFonts w:ascii="Times New Roman" w:hAnsi="Times New Roman" w:cs="Times New Roman"/>
          <w:sz w:val="24"/>
          <w:szCs w:val="24"/>
        </w:rPr>
        <w:t>Thousand Islands</w:t>
      </w:r>
      <w:r w:rsidR="00D17524" w:rsidRPr="000A03F1">
        <w:rPr>
          <w:rFonts w:ascii="Times New Roman" w:hAnsi="Times New Roman" w:cs="Times New Roman"/>
          <w:sz w:val="24"/>
          <w:szCs w:val="24"/>
        </w:rPr>
        <w:t xml:space="preserve"> Municipality</w:t>
      </w:r>
      <w:r w:rsidRPr="000A03F1">
        <w:rPr>
          <w:rFonts w:ascii="Times New Roman" w:hAnsi="Times New Roman" w:cs="Times New Roman"/>
          <w:sz w:val="24"/>
          <w:szCs w:val="24"/>
        </w:rPr>
        <w:t xml:space="preserve">. In </w:t>
      </w:r>
      <w:r w:rsidR="005D4C1A" w:rsidRPr="000A03F1">
        <w:rPr>
          <w:rFonts w:ascii="Times New Roman" w:hAnsi="Times New Roman" w:cs="Times New Roman"/>
          <w:sz w:val="24"/>
          <w:szCs w:val="24"/>
        </w:rPr>
        <w:t>Thousand Islands</w:t>
      </w:r>
      <w:r w:rsidRPr="000A03F1">
        <w:rPr>
          <w:rFonts w:ascii="Times New Roman" w:hAnsi="Times New Roman" w:cs="Times New Roman"/>
          <w:sz w:val="24"/>
          <w:szCs w:val="24"/>
        </w:rPr>
        <w:t xml:space="preserve">, there was no explicit inter-annual pattern observed as the number of cases are very small compared to the other cities. At the provincial level, the pattern was similar to what was observed in </w:t>
      </w:r>
      <w:r w:rsidR="003464AD" w:rsidRPr="000A03F1">
        <w:rPr>
          <w:rFonts w:ascii="Times New Roman" w:hAnsi="Times New Roman" w:cs="Times New Roman"/>
          <w:sz w:val="24"/>
          <w:szCs w:val="24"/>
        </w:rPr>
        <w:t>city level of C</w:t>
      </w:r>
      <w:r w:rsidRPr="000A03F1">
        <w:rPr>
          <w:rFonts w:ascii="Times New Roman" w:hAnsi="Times New Roman" w:cs="Times New Roman"/>
          <w:sz w:val="24"/>
          <w:szCs w:val="24"/>
        </w:rPr>
        <w:t>entral</w:t>
      </w:r>
      <w:r w:rsidR="00D82564" w:rsidRPr="000A03F1">
        <w:rPr>
          <w:rFonts w:ascii="Times New Roman" w:hAnsi="Times New Roman" w:cs="Times New Roman"/>
          <w:sz w:val="24"/>
          <w:szCs w:val="24"/>
        </w:rPr>
        <w:t xml:space="preserve"> Jakarta</w:t>
      </w:r>
      <w:r w:rsidRPr="000A03F1">
        <w:rPr>
          <w:rFonts w:ascii="Times New Roman" w:hAnsi="Times New Roman" w:cs="Times New Roman"/>
          <w:sz w:val="24"/>
          <w:szCs w:val="24"/>
        </w:rPr>
        <w:t xml:space="preserve">, </w:t>
      </w:r>
      <w:r w:rsidR="003464AD" w:rsidRPr="000A03F1">
        <w:rPr>
          <w:rFonts w:ascii="Times New Roman" w:hAnsi="Times New Roman" w:cs="Times New Roman"/>
          <w:sz w:val="24"/>
          <w:szCs w:val="24"/>
        </w:rPr>
        <w:t>E</w:t>
      </w:r>
      <w:r w:rsidRPr="000A03F1">
        <w:rPr>
          <w:rFonts w:ascii="Times New Roman" w:hAnsi="Times New Roman" w:cs="Times New Roman"/>
          <w:sz w:val="24"/>
          <w:szCs w:val="24"/>
        </w:rPr>
        <w:t>ast</w:t>
      </w:r>
      <w:r w:rsidR="00D82564" w:rsidRPr="000A03F1">
        <w:rPr>
          <w:rFonts w:ascii="Times New Roman" w:hAnsi="Times New Roman" w:cs="Times New Roman"/>
          <w:sz w:val="24"/>
          <w:szCs w:val="24"/>
        </w:rPr>
        <w:t xml:space="preserve"> Jakarta</w:t>
      </w:r>
      <w:r w:rsidRPr="000A03F1">
        <w:rPr>
          <w:rFonts w:ascii="Times New Roman" w:hAnsi="Times New Roman" w:cs="Times New Roman"/>
          <w:sz w:val="24"/>
          <w:szCs w:val="24"/>
        </w:rPr>
        <w:t xml:space="preserve">, </w:t>
      </w:r>
      <w:r w:rsidR="003464AD" w:rsidRPr="000A03F1">
        <w:rPr>
          <w:rFonts w:ascii="Times New Roman" w:hAnsi="Times New Roman" w:cs="Times New Roman"/>
          <w:sz w:val="24"/>
          <w:szCs w:val="24"/>
        </w:rPr>
        <w:t>N</w:t>
      </w:r>
      <w:r w:rsidRPr="000A03F1">
        <w:rPr>
          <w:rFonts w:ascii="Times New Roman" w:hAnsi="Times New Roman" w:cs="Times New Roman"/>
          <w:sz w:val="24"/>
          <w:szCs w:val="24"/>
        </w:rPr>
        <w:t>orth</w:t>
      </w:r>
      <w:r w:rsidR="00D82564" w:rsidRPr="000A03F1">
        <w:rPr>
          <w:rFonts w:ascii="Times New Roman" w:hAnsi="Times New Roman" w:cs="Times New Roman"/>
          <w:sz w:val="24"/>
          <w:szCs w:val="24"/>
        </w:rPr>
        <w:t xml:space="preserve"> Jakarta</w:t>
      </w:r>
      <w:r w:rsidRPr="000A03F1">
        <w:rPr>
          <w:rFonts w:ascii="Times New Roman" w:hAnsi="Times New Roman" w:cs="Times New Roman"/>
          <w:sz w:val="24"/>
          <w:szCs w:val="24"/>
        </w:rPr>
        <w:t xml:space="preserve">, </w:t>
      </w:r>
      <w:r w:rsidR="003464AD" w:rsidRPr="000A03F1">
        <w:rPr>
          <w:rFonts w:ascii="Times New Roman" w:hAnsi="Times New Roman" w:cs="Times New Roman"/>
          <w:sz w:val="24"/>
          <w:szCs w:val="24"/>
        </w:rPr>
        <w:t>S</w:t>
      </w:r>
      <w:r w:rsidRPr="000A03F1">
        <w:rPr>
          <w:rFonts w:ascii="Times New Roman" w:hAnsi="Times New Roman" w:cs="Times New Roman"/>
          <w:sz w:val="24"/>
          <w:szCs w:val="24"/>
        </w:rPr>
        <w:t>outh</w:t>
      </w:r>
      <w:r w:rsidR="00D82564" w:rsidRPr="000A03F1">
        <w:rPr>
          <w:rFonts w:ascii="Times New Roman" w:hAnsi="Times New Roman" w:cs="Times New Roman"/>
          <w:sz w:val="24"/>
          <w:szCs w:val="24"/>
        </w:rPr>
        <w:t xml:space="preserve"> Jakarta</w:t>
      </w:r>
      <w:r w:rsidRPr="000A03F1">
        <w:rPr>
          <w:rFonts w:ascii="Times New Roman" w:hAnsi="Times New Roman" w:cs="Times New Roman"/>
          <w:sz w:val="24"/>
          <w:szCs w:val="24"/>
        </w:rPr>
        <w:t xml:space="preserve">, and </w:t>
      </w:r>
      <w:r w:rsidR="003464AD" w:rsidRPr="000A03F1">
        <w:rPr>
          <w:rFonts w:ascii="Times New Roman" w:hAnsi="Times New Roman" w:cs="Times New Roman"/>
          <w:sz w:val="24"/>
          <w:szCs w:val="24"/>
        </w:rPr>
        <w:t>W</w:t>
      </w:r>
      <w:r w:rsidRPr="000A03F1">
        <w:rPr>
          <w:rFonts w:ascii="Times New Roman" w:hAnsi="Times New Roman" w:cs="Times New Roman"/>
          <w:sz w:val="24"/>
          <w:szCs w:val="24"/>
        </w:rPr>
        <w:t xml:space="preserve">est Jakarta. The highest annual peak occurred in 2019 </w:t>
      </w:r>
      <w:r w:rsidR="001B5317" w:rsidRPr="000A03F1">
        <w:rPr>
          <w:rFonts w:ascii="Times New Roman" w:hAnsi="Times New Roman" w:cs="Times New Roman"/>
          <w:sz w:val="24"/>
          <w:szCs w:val="24"/>
        </w:rPr>
        <w:t>followed by 2020</w:t>
      </w:r>
      <w:r w:rsidRPr="000A03F1">
        <w:rPr>
          <w:rFonts w:ascii="Times New Roman" w:hAnsi="Times New Roman" w:cs="Times New Roman"/>
          <w:sz w:val="24"/>
          <w:szCs w:val="24"/>
        </w:rPr>
        <w:t>.</w:t>
      </w:r>
    </w:p>
    <w:p w14:paraId="7D13D893" w14:textId="039D9899" w:rsidR="00CE5A47" w:rsidRPr="000A03F1" w:rsidRDefault="00CE5A47" w:rsidP="00741A05">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The trend and the seasonality were similar in both age groups (</w:t>
      </w:r>
      <w:r w:rsidRPr="000A03F1">
        <w:rPr>
          <w:rFonts w:ascii="Times New Roman" w:hAnsi="Times New Roman" w:cs="Times New Roman"/>
          <w:b/>
          <w:sz w:val="24"/>
          <w:szCs w:val="24"/>
        </w:rPr>
        <w:t xml:space="preserve">fig. </w:t>
      </w:r>
      <w:r w:rsidR="00C0467D" w:rsidRPr="000A03F1">
        <w:rPr>
          <w:rFonts w:ascii="Times New Roman" w:hAnsi="Times New Roman" w:cs="Times New Roman"/>
          <w:b/>
          <w:sz w:val="24"/>
          <w:szCs w:val="24"/>
        </w:rPr>
        <w:t>S</w:t>
      </w:r>
      <w:r w:rsidR="006C72C0" w:rsidRPr="000A03F1">
        <w:rPr>
          <w:rFonts w:ascii="Times New Roman" w:hAnsi="Times New Roman" w:cs="Times New Roman"/>
          <w:b/>
          <w:sz w:val="24"/>
          <w:szCs w:val="24"/>
        </w:rPr>
        <w:t>2</w:t>
      </w:r>
      <w:r w:rsidR="00C0467D" w:rsidRPr="000A03F1">
        <w:rPr>
          <w:rFonts w:ascii="Times New Roman" w:hAnsi="Times New Roman" w:cs="Times New Roman"/>
          <w:b/>
          <w:sz w:val="24"/>
          <w:szCs w:val="24"/>
        </w:rPr>
        <w:t xml:space="preserve"> and S</w:t>
      </w:r>
      <w:r w:rsidR="006C72C0" w:rsidRPr="000A03F1">
        <w:rPr>
          <w:rFonts w:ascii="Times New Roman" w:hAnsi="Times New Roman" w:cs="Times New Roman"/>
          <w:b/>
          <w:sz w:val="24"/>
          <w:szCs w:val="24"/>
        </w:rPr>
        <w:t>3</w:t>
      </w:r>
      <w:r w:rsidRPr="000A03F1">
        <w:rPr>
          <w:rFonts w:ascii="Times New Roman" w:hAnsi="Times New Roman" w:cs="Times New Roman"/>
          <w:b/>
          <w:sz w:val="24"/>
          <w:szCs w:val="24"/>
        </w:rPr>
        <w:t>)</w:t>
      </w:r>
      <w:r w:rsidRPr="000A03F1">
        <w:rPr>
          <w:rFonts w:ascii="Times New Roman" w:hAnsi="Times New Roman" w:cs="Times New Roman"/>
          <w:sz w:val="24"/>
          <w:szCs w:val="24"/>
        </w:rPr>
        <w:t xml:space="preserve">. Each year, the DHF cases start to increase in January, then reach the highest period between March and May </w:t>
      </w:r>
      <w:r w:rsidRPr="000A03F1">
        <w:rPr>
          <w:rFonts w:ascii="Times New Roman" w:hAnsi="Times New Roman" w:cs="Times New Roman"/>
          <w:sz w:val="24"/>
          <w:szCs w:val="24"/>
        </w:rPr>
        <w:lastRenderedPageBreak/>
        <w:t>and start to drop in June before reaching lowest point around September and November. This cycle continues in a yearly manner, while the increasing interannual trend occurred biennially.</w:t>
      </w:r>
    </w:p>
    <w:p w14:paraId="2B3F42B7" w14:textId="13A214FD" w:rsidR="00CE5A47" w:rsidRPr="000A03F1" w:rsidRDefault="00740AC1" w:rsidP="00740AC1">
      <w:pPr>
        <w:pStyle w:val="Heading2"/>
        <w:rPr>
          <w:rFonts w:ascii="Times New Roman" w:hAnsi="Times New Roman" w:cs="Times New Roman"/>
        </w:rPr>
      </w:pPr>
      <w:r w:rsidRPr="000A03F1">
        <w:rPr>
          <w:rFonts w:ascii="Times New Roman" w:hAnsi="Times New Roman" w:cs="Times New Roman"/>
        </w:rPr>
        <w:t xml:space="preserve">3.2. </w:t>
      </w:r>
      <w:r w:rsidR="00D91AFB" w:rsidRPr="000A03F1">
        <w:rPr>
          <w:rFonts w:ascii="Times New Roman" w:hAnsi="Times New Roman" w:cs="Times New Roman"/>
        </w:rPr>
        <w:t>Model fitting</w:t>
      </w:r>
    </w:p>
    <w:p w14:paraId="56A37C91" w14:textId="0D551612" w:rsidR="00CE5A47" w:rsidRPr="000A03F1" w:rsidRDefault="00472BA4" w:rsidP="00741A05">
      <w:pPr>
        <w:spacing w:line="480" w:lineRule="auto"/>
        <w:contextualSpacing/>
        <w:jc w:val="center"/>
        <w:rPr>
          <w:rFonts w:ascii="Times New Roman" w:hAnsi="Times New Roman" w:cs="Times New Roman"/>
          <w:sz w:val="24"/>
          <w:szCs w:val="24"/>
        </w:rPr>
      </w:pPr>
      <w:r w:rsidRPr="000A03F1">
        <w:rPr>
          <w:rFonts w:ascii="Times New Roman" w:hAnsi="Times New Roman" w:cs="Times New Roman"/>
          <w:noProof/>
        </w:rPr>
        <w:drawing>
          <wp:inline distT="0" distB="0" distL="0" distR="0" wp14:anchorId="703A6E8C" wp14:editId="59B11E30">
            <wp:extent cx="2880000" cy="2087267"/>
            <wp:effectExtent l="0" t="0" r="0" b="8255"/>
            <wp:docPr id="1247090990" name="Picture 1247090990"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0961" name="Picture 1"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534" b="49977"/>
                    <a:stretch/>
                  </pic:blipFill>
                  <pic:spPr bwMode="auto">
                    <a:xfrm>
                      <a:off x="0" y="0"/>
                      <a:ext cx="2880000" cy="2087267"/>
                    </a:xfrm>
                    <a:prstGeom prst="rect">
                      <a:avLst/>
                    </a:prstGeom>
                    <a:noFill/>
                    <a:ln>
                      <a:noFill/>
                    </a:ln>
                    <a:extLst>
                      <a:ext uri="{53640926-AAD7-44D8-BBD7-CCE9431645EC}">
                        <a14:shadowObscured xmlns:a14="http://schemas.microsoft.com/office/drawing/2010/main"/>
                      </a:ext>
                    </a:extLst>
                  </pic:spPr>
                </pic:pic>
              </a:graphicData>
            </a:graphic>
          </wp:inline>
        </w:drawing>
      </w:r>
      <w:r w:rsidR="00037A28" w:rsidRPr="000A03F1">
        <w:rPr>
          <w:rFonts w:ascii="Times New Roman" w:hAnsi="Times New Roman" w:cs="Times New Roman"/>
          <w:sz w:val="24"/>
          <w:szCs w:val="24"/>
        </w:rPr>
        <w:t xml:space="preserve">  </w:t>
      </w:r>
      <w:r w:rsidR="00477F79" w:rsidRPr="000A03F1">
        <w:rPr>
          <w:rFonts w:ascii="Times New Roman" w:hAnsi="Times New Roman" w:cs="Times New Roman"/>
          <w:noProof/>
        </w:rPr>
        <w:drawing>
          <wp:inline distT="0" distB="0" distL="0" distR="0" wp14:anchorId="1120B12D" wp14:editId="572E7934">
            <wp:extent cx="2880000" cy="2030487"/>
            <wp:effectExtent l="0" t="0" r="0" b="8255"/>
            <wp:docPr id="150966096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0961" name="Picture 1"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97" r="5260"/>
                    <a:stretch/>
                  </pic:blipFill>
                  <pic:spPr bwMode="auto">
                    <a:xfrm>
                      <a:off x="0" y="0"/>
                      <a:ext cx="2880000" cy="2030487"/>
                    </a:xfrm>
                    <a:prstGeom prst="rect">
                      <a:avLst/>
                    </a:prstGeom>
                    <a:noFill/>
                    <a:ln>
                      <a:noFill/>
                    </a:ln>
                    <a:extLst>
                      <a:ext uri="{53640926-AAD7-44D8-BBD7-CCE9431645EC}">
                        <a14:shadowObscured xmlns:a14="http://schemas.microsoft.com/office/drawing/2010/main"/>
                      </a:ext>
                    </a:extLst>
                  </pic:spPr>
                </pic:pic>
              </a:graphicData>
            </a:graphic>
          </wp:inline>
        </w:drawing>
      </w:r>
    </w:p>
    <w:p w14:paraId="58EEB33F" w14:textId="380519AE" w:rsidR="00CE5A47" w:rsidRPr="000A03F1" w:rsidRDefault="00CE5A47" w:rsidP="00741A05">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 xml:space="preserve">Figure </w:t>
      </w:r>
      <w:r w:rsidR="0020556A" w:rsidRPr="000A03F1">
        <w:rPr>
          <w:rFonts w:ascii="Times New Roman" w:hAnsi="Times New Roman" w:cs="Times New Roman"/>
          <w:b/>
          <w:sz w:val="20"/>
          <w:szCs w:val="20"/>
        </w:rPr>
        <w:t>5</w:t>
      </w:r>
      <w:r w:rsidRPr="000A03F1">
        <w:rPr>
          <w:rFonts w:ascii="Times New Roman" w:hAnsi="Times New Roman" w:cs="Times New Roman"/>
          <w:b/>
          <w:sz w:val="20"/>
          <w:szCs w:val="20"/>
        </w:rPr>
        <w:t xml:space="preserve">. </w:t>
      </w:r>
      <w:r w:rsidRPr="000A03F1">
        <w:rPr>
          <w:rFonts w:ascii="Times New Roman" w:hAnsi="Times New Roman" w:cs="Times New Roman"/>
          <w:sz w:val="20"/>
          <w:szCs w:val="20"/>
        </w:rPr>
        <w:t>Simulated vs observed DHF dynamics; simulation results were run deterministically in monthly intervals over 45 years (the first 40 years simulations were discarded as transients, and the remaining 5 years (blue) were compared with the observed data from January 2017 to December 2022 (</w:t>
      </w:r>
      <w:proofErr w:type="spellStart"/>
      <w:r w:rsidRPr="000A03F1">
        <w:rPr>
          <w:rFonts w:ascii="Times New Roman" w:hAnsi="Times New Roman" w:cs="Times New Roman"/>
          <w:sz w:val="20"/>
          <w:szCs w:val="20"/>
        </w:rPr>
        <w:t>gray</w:t>
      </w:r>
      <w:proofErr w:type="spellEnd"/>
      <w:r w:rsidRPr="000A03F1">
        <w:rPr>
          <w:rFonts w:ascii="Times New Roman" w:hAnsi="Times New Roman" w:cs="Times New Roman"/>
          <w:sz w:val="20"/>
          <w:szCs w:val="20"/>
        </w:rPr>
        <w:t>)) (a-b). (a) Simulated output of hospitalised DHF patients aged 0-14 years (blue) was fitted to the average DHF incidence stratified by month over 5 years (red). (b) Simulated output of hospitalised DHF patients aged 15-75+ years was fitted to the average DHF incidence stratified by month over 5 years (red). The population used for the model were P</w:t>
      </w:r>
      <w:r w:rsidRPr="000A03F1">
        <w:rPr>
          <w:rFonts w:ascii="Times New Roman" w:hAnsi="Times New Roman" w:cs="Times New Roman"/>
          <w:sz w:val="20"/>
          <w:szCs w:val="20"/>
          <w:vertAlign w:val="subscript"/>
        </w:rPr>
        <w:t>A</w:t>
      </w:r>
      <w:r w:rsidRPr="000A03F1">
        <w:rPr>
          <w:rFonts w:ascii="Times New Roman" w:hAnsi="Times New Roman" w:cs="Times New Roman"/>
          <w:sz w:val="20"/>
          <w:szCs w:val="20"/>
        </w:rPr>
        <w:t xml:space="preserve"> = 2,739,633 and P</w:t>
      </w:r>
      <w:r w:rsidRPr="000A03F1">
        <w:rPr>
          <w:rFonts w:ascii="Times New Roman" w:hAnsi="Times New Roman" w:cs="Times New Roman"/>
          <w:sz w:val="20"/>
          <w:szCs w:val="20"/>
          <w:vertAlign w:val="subscript"/>
        </w:rPr>
        <w:t>B</w:t>
      </w:r>
      <w:r w:rsidRPr="000A03F1">
        <w:rPr>
          <w:rFonts w:ascii="Times New Roman" w:hAnsi="Times New Roman" w:cs="Times New Roman"/>
          <w:sz w:val="20"/>
          <w:szCs w:val="20"/>
        </w:rPr>
        <w:t xml:space="preserve"> = 8,521,692 for age group A and B, respectively; </w:t>
      </w:r>
      <w:bookmarkStart w:id="0" w:name="_Hlk143623174"/>
      <w:r w:rsidRPr="000A03F1">
        <w:rPr>
          <w:rFonts w:ascii="Times New Roman" w:hAnsi="Times New Roman" w:cs="Times New Roman"/>
          <w:sz w:val="20"/>
          <w:szCs w:val="20"/>
        </w:rPr>
        <w:t>transmission rate for group A</w:t>
      </w:r>
      <w:bookmarkEnd w:id="0"/>
      <w:r w:rsidRPr="000A03F1">
        <w:rPr>
          <w:rFonts w:ascii="Times New Roman" w:hAnsi="Times New Roman" w:cs="Times New Roman"/>
          <w:sz w:val="20"/>
          <w:szCs w:val="20"/>
        </w:rPr>
        <w:t>, β</w:t>
      </w:r>
      <w:r w:rsidRPr="000A03F1">
        <w:rPr>
          <w:rFonts w:ascii="Times New Roman" w:hAnsi="Times New Roman" w:cs="Times New Roman"/>
          <w:sz w:val="20"/>
          <w:szCs w:val="20"/>
          <w:vertAlign w:val="subscript"/>
        </w:rPr>
        <w:t>A</w:t>
      </w:r>
      <w:r w:rsidRPr="000A03F1">
        <w:rPr>
          <w:rFonts w:ascii="Times New Roman" w:hAnsi="Times New Roman" w:cs="Times New Roman"/>
          <w:sz w:val="20"/>
          <w:szCs w:val="20"/>
        </w:rPr>
        <w:t xml:space="preserve"> = 0.5</w:t>
      </w:r>
      <w:r w:rsidR="00137E79" w:rsidRPr="000A03F1">
        <w:rPr>
          <w:rFonts w:ascii="Times New Roman" w:hAnsi="Times New Roman" w:cs="Times New Roman"/>
          <w:sz w:val="20"/>
          <w:szCs w:val="20"/>
        </w:rPr>
        <w:t>01</w:t>
      </w:r>
      <w:r w:rsidRPr="000A03F1">
        <w:rPr>
          <w:rFonts w:ascii="Times New Roman" w:hAnsi="Times New Roman" w:cs="Times New Roman"/>
          <w:sz w:val="20"/>
          <w:szCs w:val="20"/>
        </w:rPr>
        <w:t>, and group B, β</w:t>
      </w:r>
      <w:r w:rsidRPr="000A03F1">
        <w:rPr>
          <w:rFonts w:ascii="Times New Roman" w:hAnsi="Times New Roman" w:cs="Times New Roman"/>
          <w:sz w:val="20"/>
          <w:szCs w:val="20"/>
          <w:vertAlign w:val="subscript"/>
        </w:rPr>
        <w:t xml:space="preserve">B </w:t>
      </w:r>
      <w:r w:rsidRPr="000A03F1">
        <w:rPr>
          <w:rFonts w:ascii="Times New Roman" w:hAnsi="Times New Roman" w:cs="Times New Roman"/>
          <w:sz w:val="20"/>
          <w:szCs w:val="20"/>
        </w:rPr>
        <w:t>= 0.071; infectious period 1/</w:t>
      </w:r>
      <w:r w:rsidRPr="000A03F1">
        <w:rPr>
          <w:rFonts w:ascii="Cambria Math" w:hAnsi="Cambria Math" w:cs="Cambria Math"/>
          <w:sz w:val="20"/>
          <w:szCs w:val="20"/>
        </w:rPr>
        <w:t>𝜏</w:t>
      </w:r>
      <w:r w:rsidRPr="000A03F1">
        <w:rPr>
          <w:rFonts w:ascii="Times New Roman" w:hAnsi="Times New Roman" w:cs="Times New Roman"/>
          <w:sz w:val="20"/>
          <w:szCs w:val="20"/>
        </w:rPr>
        <w:t xml:space="preserve"> = 14 days; temporary immune waning rate, ω = 1/365 days</w:t>
      </w:r>
      <w:r w:rsidRPr="000A03F1">
        <w:rPr>
          <w:rFonts w:ascii="Times New Roman" w:hAnsi="Times New Roman" w:cs="Times New Roman"/>
          <w:sz w:val="20"/>
          <w:szCs w:val="20"/>
          <w:vertAlign w:val="superscript"/>
        </w:rPr>
        <w:t>-1</w:t>
      </w:r>
      <w:r w:rsidRPr="000A03F1">
        <w:rPr>
          <w:rFonts w:ascii="Times New Roman" w:hAnsi="Times New Roman" w:cs="Times New Roman"/>
          <w:sz w:val="20"/>
          <w:szCs w:val="20"/>
        </w:rPr>
        <w:t xml:space="preserve">; death rate for group A, </w:t>
      </w:r>
      <w:proofErr w:type="spellStart"/>
      <w:r w:rsidRPr="000A03F1">
        <w:rPr>
          <w:rFonts w:ascii="Times New Roman" w:hAnsi="Times New Roman" w:cs="Times New Roman"/>
          <w:sz w:val="20"/>
          <w:szCs w:val="20"/>
        </w:rPr>
        <w:t>μ</w:t>
      </w:r>
      <w:r w:rsidRPr="000A03F1">
        <w:rPr>
          <w:rFonts w:ascii="Times New Roman" w:hAnsi="Times New Roman" w:cs="Times New Roman"/>
          <w:sz w:val="20"/>
          <w:szCs w:val="20"/>
          <w:vertAlign w:val="subscript"/>
        </w:rPr>
        <w:t>A</w:t>
      </w:r>
      <w:proofErr w:type="spellEnd"/>
      <w:r w:rsidRPr="000A03F1">
        <w:rPr>
          <w:rFonts w:ascii="Times New Roman" w:hAnsi="Times New Roman" w:cs="Times New Roman"/>
          <w:sz w:val="20"/>
          <w:szCs w:val="20"/>
        </w:rPr>
        <w:t xml:space="preserve"> = 1/70 years</w:t>
      </w:r>
      <w:r w:rsidRPr="000A03F1">
        <w:rPr>
          <w:rFonts w:ascii="Times New Roman" w:hAnsi="Times New Roman" w:cs="Times New Roman"/>
          <w:sz w:val="20"/>
          <w:szCs w:val="20"/>
          <w:vertAlign w:val="superscript"/>
        </w:rPr>
        <w:t>-1</w:t>
      </w:r>
      <w:r w:rsidRPr="000A03F1">
        <w:rPr>
          <w:rFonts w:ascii="Times New Roman" w:hAnsi="Times New Roman" w:cs="Times New Roman"/>
          <w:sz w:val="20"/>
          <w:szCs w:val="20"/>
        </w:rPr>
        <w:t xml:space="preserve">, and group B, </w:t>
      </w:r>
      <w:proofErr w:type="spellStart"/>
      <w:r w:rsidRPr="000A03F1">
        <w:rPr>
          <w:rFonts w:ascii="Times New Roman" w:hAnsi="Times New Roman" w:cs="Times New Roman"/>
          <w:sz w:val="20"/>
          <w:szCs w:val="20"/>
        </w:rPr>
        <w:t>μ</w:t>
      </w:r>
      <w:r w:rsidRPr="000A03F1">
        <w:rPr>
          <w:rFonts w:ascii="Times New Roman" w:hAnsi="Times New Roman" w:cs="Times New Roman"/>
          <w:sz w:val="20"/>
          <w:szCs w:val="20"/>
          <w:vertAlign w:val="subscript"/>
        </w:rPr>
        <w:t>B</w:t>
      </w:r>
      <w:proofErr w:type="spellEnd"/>
      <w:r w:rsidRPr="000A03F1">
        <w:rPr>
          <w:rFonts w:ascii="Times New Roman" w:hAnsi="Times New Roman" w:cs="Times New Roman"/>
          <w:sz w:val="20"/>
          <w:szCs w:val="20"/>
        </w:rPr>
        <w:t xml:space="preserve"> = 1/50; cases importation rate, m = 1x10</w:t>
      </w:r>
      <w:r w:rsidRPr="000A03F1">
        <w:rPr>
          <w:rFonts w:ascii="Times New Roman" w:hAnsi="Times New Roman" w:cs="Times New Roman"/>
          <w:sz w:val="20"/>
          <w:szCs w:val="20"/>
          <w:vertAlign w:val="superscript"/>
        </w:rPr>
        <w:t>-6</w:t>
      </w:r>
      <w:r w:rsidRPr="000A03F1">
        <w:rPr>
          <w:rFonts w:ascii="Times New Roman" w:hAnsi="Times New Roman" w:cs="Times New Roman"/>
          <w:sz w:val="20"/>
          <w:szCs w:val="20"/>
        </w:rPr>
        <w:t xml:space="preserve"> day</w:t>
      </w:r>
      <w:r w:rsidRPr="000A03F1">
        <w:rPr>
          <w:rFonts w:ascii="Times New Roman" w:hAnsi="Times New Roman" w:cs="Times New Roman"/>
          <w:sz w:val="20"/>
          <w:szCs w:val="20"/>
          <w:vertAlign w:val="superscript"/>
        </w:rPr>
        <w:t>-1</w:t>
      </w:r>
      <w:r w:rsidRPr="000A03F1">
        <w:rPr>
          <w:rFonts w:ascii="Times New Roman" w:hAnsi="Times New Roman" w:cs="Times New Roman"/>
          <w:sz w:val="20"/>
          <w:szCs w:val="20"/>
        </w:rPr>
        <w:t xml:space="preserve"> per serotype</w:t>
      </w:r>
      <w:r w:rsidR="00C46DC4" w:rsidRPr="000A03F1">
        <w:rPr>
          <w:rFonts w:ascii="Times New Roman" w:hAnsi="Times New Roman" w:cs="Times New Roman"/>
          <w:sz w:val="20"/>
          <w:szCs w:val="20"/>
        </w:rPr>
        <w:t>, phase angle of group A and B, Φ</w:t>
      </w:r>
      <w:r w:rsidR="00C46DC4" w:rsidRPr="000A03F1">
        <w:rPr>
          <w:rFonts w:ascii="Times New Roman" w:hAnsi="Times New Roman" w:cs="Times New Roman"/>
          <w:sz w:val="20"/>
          <w:szCs w:val="20"/>
          <w:vertAlign w:val="subscript"/>
        </w:rPr>
        <w:t>A</w:t>
      </w:r>
      <w:r w:rsidR="00C46DC4" w:rsidRPr="000A03F1">
        <w:rPr>
          <w:rFonts w:ascii="Times New Roman" w:hAnsi="Times New Roman" w:cs="Times New Roman"/>
          <w:sz w:val="20"/>
          <w:szCs w:val="20"/>
        </w:rPr>
        <w:t xml:space="preserve"> and Φ</w:t>
      </w:r>
      <w:r w:rsidR="00C46DC4" w:rsidRPr="000A03F1">
        <w:rPr>
          <w:rFonts w:ascii="Times New Roman" w:hAnsi="Times New Roman" w:cs="Times New Roman"/>
          <w:sz w:val="20"/>
          <w:szCs w:val="20"/>
          <w:vertAlign w:val="subscript"/>
        </w:rPr>
        <w:t>B</w:t>
      </w:r>
      <w:r w:rsidR="00C46DC4" w:rsidRPr="000A03F1">
        <w:rPr>
          <w:rFonts w:ascii="Times New Roman" w:hAnsi="Times New Roman" w:cs="Times New Roman"/>
          <w:sz w:val="20"/>
          <w:szCs w:val="20"/>
        </w:rPr>
        <w:t xml:space="preserve"> = 8.</w:t>
      </w:r>
      <w:r w:rsidR="008D47A1" w:rsidRPr="000A03F1">
        <w:rPr>
          <w:rFonts w:ascii="Times New Roman" w:hAnsi="Times New Roman" w:cs="Times New Roman"/>
          <w:sz w:val="20"/>
          <w:szCs w:val="20"/>
        </w:rPr>
        <w:t>50</w:t>
      </w:r>
      <w:r w:rsidR="00C46DC4" w:rsidRPr="000A03F1">
        <w:rPr>
          <w:rFonts w:ascii="Times New Roman" w:hAnsi="Times New Roman" w:cs="Times New Roman"/>
          <w:sz w:val="20"/>
          <w:szCs w:val="20"/>
        </w:rPr>
        <w:t xml:space="preserve"> months.</w:t>
      </w:r>
    </w:p>
    <w:p w14:paraId="585F594B" w14:textId="77777777" w:rsidR="00CE5A47" w:rsidRPr="000A03F1" w:rsidRDefault="00CE5A47" w:rsidP="00741A05">
      <w:pPr>
        <w:spacing w:line="480" w:lineRule="auto"/>
        <w:ind w:firstLine="720"/>
        <w:contextualSpacing/>
        <w:jc w:val="both"/>
        <w:rPr>
          <w:rFonts w:ascii="Times New Roman" w:hAnsi="Times New Roman" w:cs="Times New Roman"/>
          <w:sz w:val="24"/>
          <w:szCs w:val="24"/>
        </w:rPr>
      </w:pPr>
    </w:p>
    <w:p w14:paraId="358FD0DF" w14:textId="28443AC5" w:rsidR="00CE5A47" w:rsidRPr="000A03F1" w:rsidRDefault="00CF40F8" w:rsidP="00BB1D34">
      <w:pPr>
        <w:spacing w:line="480" w:lineRule="auto"/>
        <w:contextualSpacing/>
        <w:jc w:val="both"/>
        <w:rPr>
          <w:rFonts w:ascii="Times New Roman" w:hAnsi="Times New Roman" w:cs="Times New Roman"/>
          <w:i/>
          <w:sz w:val="24"/>
          <w:szCs w:val="24"/>
        </w:rPr>
      </w:pPr>
      <w:r w:rsidRPr="000A03F1">
        <w:rPr>
          <w:rFonts w:ascii="Times New Roman" w:hAnsi="Times New Roman" w:cs="Times New Roman"/>
          <w:sz w:val="24"/>
          <w:szCs w:val="24"/>
        </w:rPr>
        <w:t xml:space="preserve">The model was </w:t>
      </w:r>
      <w:r w:rsidR="008E2D98" w:rsidRPr="000A03F1">
        <w:rPr>
          <w:rFonts w:ascii="Times New Roman" w:hAnsi="Times New Roman" w:cs="Times New Roman"/>
          <w:sz w:val="24"/>
          <w:szCs w:val="24"/>
        </w:rPr>
        <w:t>fitted</w:t>
      </w:r>
      <w:r w:rsidRPr="000A03F1">
        <w:rPr>
          <w:rFonts w:ascii="Times New Roman" w:hAnsi="Times New Roman" w:cs="Times New Roman"/>
          <w:sz w:val="24"/>
          <w:szCs w:val="24"/>
        </w:rPr>
        <w:t xml:space="preserve"> to the case notification data of hospitalised DHF that were averaged by month to </w:t>
      </w:r>
      <w:r w:rsidR="008E2D98" w:rsidRPr="000A03F1">
        <w:rPr>
          <w:rFonts w:ascii="Times New Roman" w:hAnsi="Times New Roman" w:cs="Times New Roman"/>
          <w:sz w:val="24"/>
          <w:szCs w:val="24"/>
        </w:rPr>
        <w:t>calibrate</w:t>
      </w:r>
      <w:r w:rsidRPr="000A03F1">
        <w:rPr>
          <w:rFonts w:ascii="Times New Roman" w:hAnsi="Times New Roman" w:cs="Times New Roman"/>
          <w:sz w:val="24"/>
          <w:szCs w:val="24"/>
        </w:rPr>
        <w:t xml:space="preserve"> </w:t>
      </w:r>
      <w:r w:rsidR="0027027C" w:rsidRPr="000A03F1">
        <w:rPr>
          <w:rFonts w:ascii="Times New Roman" w:hAnsi="Times New Roman" w:cs="Times New Roman"/>
          <w:sz w:val="24"/>
          <w:szCs w:val="24"/>
        </w:rPr>
        <w:t>8</w:t>
      </w:r>
      <w:r w:rsidRPr="000A03F1">
        <w:rPr>
          <w:rFonts w:ascii="Times New Roman" w:hAnsi="Times New Roman" w:cs="Times New Roman"/>
          <w:sz w:val="24"/>
          <w:szCs w:val="24"/>
        </w:rPr>
        <w:t xml:space="preserve"> parameters:</w:t>
      </w:r>
      <w:r w:rsidR="00461132" w:rsidRPr="000A03F1">
        <w:rPr>
          <w:rFonts w:ascii="Times New Roman" w:hAnsi="Times New Roman" w:cs="Times New Roman"/>
          <w:sz w:val="24"/>
          <w:szCs w:val="24"/>
        </w:rPr>
        <w:t xml:space="preserve"> </w:t>
      </w:r>
      <w:r w:rsidR="00FA327D" w:rsidRPr="000A03F1">
        <w:rPr>
          <w:rFonts w:ascii="Times New Roman" w:hAnsi="Times New Roman" w:cs="Times New Roman"/>
          <w:sz w:val="24"/>
          <w:szCs w:val="24"/>
        </w:rPr>
        <w:t>β</w:t>
      </w:r>
      <w:r w:rsidR="00FA327D" w:rsidRPr="000A03F1">
        <w:rPr>
          <w:rFonts w:ascii="Times New Roman" w:hAnsi="Times New Roman" w:cs="Times New Roman"/>
          <w:sz w:val="24"/>
          <w:szCs w:val="24"/>
          <w:vertAlign w:val="subscript"/>
        </w:rPr>
        <w:t>A</w:t>
      </w:r>
      <w:r w:rsidR="00FA327D" w:rsidRPr="000A03F1">
        <w:rPr>
          <w:rFonts w:ascii="Times New Roman" w:hAnsi="Times New Roman" w:cs="Times New Roman"/>
          <w:sz w:val="24"/>
          <w:szCs w:val="24"/>
        </w:rPr>
        <w:t>, β</w:t>
      </w:r>
      <w:r w:rsidR="00FA327D" w:rsidRPr="000A03F1">
        <w:rPr>
          <w:rFonts w:ascii="Times New Roman" w:hAnsi="Times New Roman" w:cs="Times New Roman"/>
          <w:sz w:val="24"/>
          <w:szCs w:val="24"/>
          <w:vertAlign w:val="subscript"/>
        </w:rPr>
        <w:t>B</w:t>
      </w:r>
      <w:r w:rsidR="00FA327D" w:rsidRPr="000A03F1">
        <w:rPr>
          <w:rFonts w:ascii="Times New Roman" w:hAnsi="Times New Roman" w:cs="Times New Roman"/>
          <w:sz w:val="24"/>
          <w:szCs w:val="24"/>
        </w:rPr>
        <w:t xml:space="preserve">, </w:t>
      </w:r>
      <w:proofErr w:type="spellStart"/>
      <w:r w:rsidR="00FA327D" w:rsidRPr="000A03F1">
        <w:rPr>
          <w:rFonts w:ascii="Times New Roman" w:hAnsi="Times New Roman" w:cs="Times New Roman"/>
          <w:sz w:val="24"/>
          <w:szCs w:val="24"/>
        </w:rPr>
        <w:t>ε</w:t>
      </w:r>
      <w:r w:rsidR="00FA327D" w:rsidRPr="000A03F1">
        <w:rPr>
          <w:rFonts w:ascii="Times New Roman" w:hAnsi="Times New Roman" w:cs="Times New Roman"/>
          <w:sz w:val="24"/>
          <w:szCs w:val="24"/>
          <w:vertAlign w:val="subscript"/>
        </w:rPr>
        <w:t>A</w:t>
      </w:r>
      <w:proofErr w:type="spellEnd"/>
      <w:r w:rsidR="00FA327D" w:rsidRPr="000A03F1">
        <w:rPr>
          <w:rFonts w:ascii="Times New Roman" w:hAnsi="Times New Roman" w:cs="Times New Roman"/>
          <w:sz w:val="24"/>
          <w:szCs w:val="24"/>
        </w:rPr>
        <w:t xml:space="preserve">, </w:t>
      </w:r>
      <w:proofErr w:type="spellStart"/>
      <w:r w:rsidR="00FA327D" w:rsidRPr="000A03F1">
        <w:rPr>
          <w:rFonts w:ascii="Times New Roman" w:hAnsi="Times New Roman" w:cs="Times New Roman"/>
          <w:sz w:val="24"/>
          <w:szCs w:val="24"/>
        </w:rPr>
        <w:t>ε</w:t>
      </w:r>
      <w:r w:rsidR="00FA327D" w:rsidRPr="000A03F1">
        <w:rPr>
          <w:rFonts w:ascii="Times New Roman" w:hAnsi="Times New Roman" w:cs="Times New Roman"/>
          <w:sz w:val="24"/>
          <w:szCs w:val="24"/>
          <w:vertAlign w:val="subscript"/>
        </w:rPr>
        <w:t>B</w:t>
      </w:r>
      <w:proofErr w:type="spellEnd"/>
      <w:r w:rsidR="00FA327D" w:rsidRPr="000A03F1">
        <w:rPr>
          <w:rFonts w:ascii="Times New Roman" w:hAnsi="Times New Roman" w:cs="Times New Roman"/>
          <w:sz w:val="24"/>
          <w:szCs w:val="24"/>
        </w:rPr>
        <w:t xml:space="preserve">, </w:t>
      </w:r>
      <w:proofErr w:type="spellStart"/>
      <w:r w:rsidR="00FA327D" w:rsidRPr="000A03F1">
        <w:rPr>
          <w:rFonts w:ascii="Times New Roman" w:hAnsi="Times New Roman" w:cs="Times New Roman"/>
          <w:sz w:val="24"/>
          <w:szCs w:val="24"/>
        </w:rPr>
        <w:t>h.dhf</w:t>
      </w:r>
      <w:r w:rsidR="00FA327D" w:rsidRPr="000A03F1">
        <w:rPr>
          <w:rFonts w:ascii="Times New Roman" w:hAnsi="Times New Roman" w:cs="Times New Roman"/>
          <w:sz w:val="24"/>
          <w:szCs w:val="24"/>
          <w:vertAlign w:val="subscript"/>
        </w:rPr>
        <w:t>A</w:t>
      </w:r>
      <w:proofErr w:type="spellEnd"/>
      <w:r w:rsidR="00FA327D" w:rsidRPr="000A03F1">
        <w:rPr>
          <w:rFonts w:ascii="Times New Roman" w:hAnsi="Times New Roman" w:cs="Times New Roman"/>
          <w:sz w:val="24"/>
          <w:szCs w:val="24"/>
        </w:rPr>
        <w:t xml:space="preserve">, </w:t>
      </w:r>
      <w:proofErr w:type="spellStart"/>
      <w:r w:rsidR="00FA327D" w:rsidRPr="000A03F1">
        <w:rPr>
          <w:rFonts w:ascii="Times New Roman" w:hAnsi="Times New Roman" w:cs="Times New Roman"/>
          <w:sz w:val="24"/>
          <w:szCs w:val="24"/>
        </w:rPr>
        <w:t>hdhf</w:t>
      </w:r>
      <w:r w:rsidR="00FA327D" w:rsidRPr="000A03F1">
        <w:rPr>
          <w:rFonts w:ascii="Times New Roman" w:hAnsi="Times New Roman" w:cs="Times New Roman"/>
          <w:sz w:val="24"/>
          <w:szCs w:val="24"/>
          <w:vertAlign w:val="subscript"/>
        </w:rPr>
        <w:t>B</w:t>
      </w:r>
      <w:proofErr w:type="spellEnd"/>
      <w:r w:rsidR="00C46DC4" w:rsidRPr="000A03F1">
        <w:rPr>
          <w:rFonts w:ascii="Times New Roman" w:hAnsi="Times New Roman" w:cs="Times New Roman"/>
          <w:sz w:val="24"/>
          <w:szCs w:val="24"/>
        </w:rPr>
        <w:t>, Φ</w:t>
      </w:r>
      <w:r w:rsidR="00C46DC4" w:rsidRPr="000A03F1">
        <w:rPr>
          <w:rFonts w:ascii="Times New Roman" w:hAnsi="Times New Roman" w:cs="Times New Roman"/>
          <w:sz w:val="24"/>
          <w:szCs w:val="24"/>
          <w:vertAlign w:val="subscript"/>
        </w:rPr>
        <w:t>A</w:t>
      </w:r>
      <w:r w:rsidR="00C46DC4" w:rsidRPr="000A03F1">
        <w:rPr>
          <w:rFonts w:ascii="Times New Roman" w:hAnsi="Times New Roman" w:cs="Times New Roman"/>
          <w:sz w:val="24"/>
          <w:szCs w:val="24"/>
        </w:rPr>
        <w:t xml:space="preserve"> and Φ</w:t>
      </w:r>
      <w:r w:rsidR="00C46DC4" w:rsidRPr="000A03F1">
        <w:rPr>
          <w:rFonts w:ascii="Times New Roman" w:hAnsi="Times New Roman" w:cs="Times New Roman"/>
          <w:sz w:val="24"/>
          <w:szCs w:val="24"/>
          <w:vertAlign w:val="subscript"/>
        </w:rPr>
        <w:t>B</w:t>
      </w:r>
      <w:r w:rsidR="00C46DC4" w:rsidRPr="000A03F1">
        <w:rPr>
          <w:rFonts w:ascii="Times New Roman" w:hAnsi="Times New Roman" w:cs="Times New Roman"/>
          <w:sz w:val="24"/>
          <w:szCs w:val="24"/>
        </w:rPr>
        <w:t>.</w:t>
      </w:r>
      <w:r w:rsidR="00CE5A47" w:rsidRPr="000A03F1">
        <w:rPr>
          <w:rFonts w:ascii="Times New Roman" w:hAnsi="Times New Roman" w:cs="Times New Roman"/>
          <w:sz w:val="24"/>
          <w:szCs w:val="24"/>
        </w:rPr>
        <w:t xml:space="preserve"> </w:t>
      </w:r>
      <w:r w:rsidR="00311FE2" w:rsidRPr="000A03F1">
        <w:rPr>
          <w:rFonts w:ascii="Times New Roman" w:hAnsi="Times New Roman" w:cs="Times New Roman"/>
          <w:sz w:val="24"/>
          <w:szCs w:val="24"/>
        </w:rPr>
        <w:t>T</w:t>
      </w:r>
      <w:r w:rsidR="00CE5A47" w:rsidRPr="000A03F1">
        <w:rPr>
          <w:rFonts w:ascii="Times New Roman" w:hAnsi="Times New Roman" w:cs="Times New Roman"/>
          <w:sz w:val="24"/>
          <w:szCs w:val="24"/>
        </w:rPr>
        <w:t xml:space="preserve">he input parameters </w:t>
      </w:r>
      <w:r w:rsidR="00C46DC4" w:rsidRPr="000A03F1">
        <w:rPr>
          <w:rFonts w:ascii="Times New Roman" w:hAnsi="Times New Roman" w:cs="Times New Roman"/>
          <w:sz w:val="24"/>
          <w:szCs w:val="24"/>
        </w:rPr>
        <w:t xml:space="preserve">are </w:t>
      </w:r>
      <w:r w:rsidR="00CE5A47" w:rsidRPr="000A03F1">
        <w:rPr>
          <w:rFonts w:ascii="Times New Roman" w:hAnsi="Times New Roman" w:cs="Times New Roman"/>
          <w:sz w:val="24"/>
          <w:szCs w:val="24"/>
        </w:rPr>
        <w:t xml:space="preserve">summarised in </w:t>
      </w:r>
      <w:r w:rsidR="00A6626B" w:rsidRPr="000A03F1">
        <w:rPr>
          <w:rFonts w:ascii="Times New Roman" w:hAnsi="Times New Roman" w:cs="Times New Roman"/>
          <w:b/>
          <w:bCs/>
          <w:sz w:val="24"/>
          <w:szCs w:val="24"/>
        </w:rPr>
        <w:t>table</w:t>
      </w:r>
      <w:r w:rsidR="00CE5A47" w:rsidRPr="000A03F1">
        <w:rPr>
          <w:rFonts w:ascii="Times New Roman" w:hAnsi="Times New Roman" w:cs="Times New Roman"/>
          <w:b/>
          <w:bCs/>
          <w:sz w:val="24"/>
          <w:szCs w:val="24"/>
        </w:rPr>
        <w:t xml:space="preserve"> S1</w:t>
      </w:r>
      <w:r w:rsidR="00CE5A47" w:rsidRPr="000A03F1">
        <w:rPr>
          <w:rFonts w:ascii="Times New Roman" w:hAnsi="Times New Roman" w:cs="Times New Roman"/>
          <w:sz w:val="24"/>
          <w:szCs w:val="24"/>
        </w:rPr>
        <w:t>, respectively</w:t>
      </w:r>
      <w:r w:rsidR="00C46DC4" w:rsidRPr="000A03F1">
        <w:rPr>
          <w:rFonts w:ascii="Times New Roman" w:hAnsi="Times New Roman" w:cs="Times New Roman"/>
          <w:sz w:val="24"/>
          <w:szCs w:val="24"/>
        </w:rPr>
        <w:t>.</w:t>
      </w:r>
      <w:r w:rsidR="00CE5A47" w:rsidRPr="000A03F1">
        <w:rPr>
          <w:rFonts w:ascii="Times New Roman" w:hAnsi="Times New Roman" w:cs="Times New Roman"/>
          <w:sz w:val="24"/>
          <w:szCs w:val="24"/>
        </w:rPr>
        <w:t xml:space="preserve"> </w:t>
      </w:r>
      <w:r w:rsidR="00C46DC4" w:rsidRPr="000A03F1">
        <w:rPr>
          <w:rFonts w:ascii="Times New Roman" w:hAnsi="Times New Roman" w:cs="Times New Roman"/>
          <w:sz w:val="24"/>
          <w:szCs w:val="24"/>
        </w:rPr>
        <w:t>T</w:t>
      </w:r>
      <w:r w:rsidR="00CE5A47" w:rsidRPr="000A03F1">
        <w:rPr>
          <w:rFonts w:ascii="Times New Roman" w:hAnsi="Times New Roman" w:cs="Times New Roman"/>
          <w:sz w:val="24"/>
          <w:szCs w:val="24"/>
        </w:rPr>
        <w:t xml:space="preserve">he deterministic outputs of the fitted model were able to capture the </w:t>
      </w:r>
      <w:r w:rsidR="00455594" w:rsidRPr="000A03F1">
        <w:rPr>
          <w:rFonts w:ascii="Times New Roman" w:hAnsi="Times New Roman" w:cs="Times New Roman"/>
          <w:sz w:val="24"/>
          <w:szCs w:val="24"/>
        </w:rPr>
        <w:t>average dynamics of hospitalised DHF cases</w:t>
      </w:r>
      <w:r w:rsidR="00CE5A47" w:rsidRPr="000A03F1">
        <w:rPr>
          <w:rFonts w:ascii="Times New Roman" w:hAnsi="Times New Roman" w:cs="Times New Roman"/>
          <w:sz w:val="24"/>
          <w:szCs w:val="24"/>
        </w:rPr>
        <w:t xml:space="preserve"> in both age groups which occurred around </w:t>
      </w:r>
      <w:r w:rsidR="00CE5A47" w:rsidRPr="000A03F1">
        <w:rPr>
          <w:rFonts w:ascii="Times New Roman" w:hAnsi="Times New Roman" w:cs="Times New Roman"/>
          <w:sz w:val="24"/>
          <w:szCs w:val="24"/>
        </w:rPr>
        <w:lastRenderedPageBreak/>
        <w:t>the first half of each year</w:t>
      </w:r>
      <w:r w:rsidR="00455594" w:rsidRPr="000A03F1">
        <w:rPr>
          <w:rFonts w:ascii="Times New Roman" w:hAnsi="Times New Roman" w:cs="Times New Roman"/>
          <w:sz w:val="24"/>
          <w:szCs w:val="24"/>
        </w:rPr>
        <w:t xml:space="preserve"> </w:t>
      </w:r>
      <w:r w:rsidR="00CE5A47" w:rsidRPr="000A03F1">
        <w:rPr>
          <w:rFonts w:ascii="Times New Roman" w:hAnsi="Times New Roman" w:cs="Times New Roman"/>
          <w:sz w:val="24"/>
          <w:szCs w:val="24"/>
        </w:rPr>
        <w:t>(</w:t>
      </w:r>
      <w:r w:rsidR="00CE5A47" w:rsidRPr="000A03F1">
        <w:rPr>
          <w:rFonts w:ascii="Times New Roman" w:hAnsi="Times New Roman" w:cs="Times New Roman"/>
          <w:b/>
          <w:sz w:val="24"/>
          <w:szCs w:val="24"/>
        </w:rPr>
        <w:t xml:space="preserve">fig. </w:t>
      </w:r>
      <w:r w:rsidR="00954D74" w:rsidRPr="000A03F1">
        <w:rPr>
          <w:rFonts w:ascii="Times New Roman" w:hAnsi="Times New Roman" w:cs="Times New Roman"/>
          <w:b/>
          <w:sz w:val="24"/>
          <w:szCs w:val="24"/>
        </w:rPr>
        <w:t>5</w:t>
      </w:r>
      <w:r w:rsidR="00CE5A47" w:rsidRPr="000A03F1">
        <w:rPr>
          <w:rFonts w:ascii="Times New Roman" w:hAnsi="Times New Roman" w:cs="Times New Roman"/>
          <w:b/>
          <w:sz w:val="24"/>
          <w:szCs w:val="24"/>
        </w:rPr>
        <w:t>)</w:t>
      </w:r>
      <w:r w:rsidR="00CE5A47" w:rsidRPr="000A03F1">
        <w:rPr>
          <w:rFonts w:ascii="Times New Roman" w:hAnsi="Times New Roman" w:cs="Times New Roman"/>
          <w:sz w:val="24"/>
          <w:szCs w:val="24"/>
        </w:rPr>
        <w:t>. These outputs would be used for the baseline scenario.</w:t>
      </w:r>
      <w:r w:rsidR="00A4729D" w:rsidRPr="000A03F1">
        <w:rPr>
          <w:rFonts w:ascii="Times New Roman" w:hAnsi="Times New Roman" w:cs="Times New Roman"/>
          <w:i/>
          <w:sz w:val="24"/>
          <w:szCs w:val="24"/>
        </w:rPr>
        <w:t xml:space="preserve"> </w:t>
      </w:r>
      <w:r w:rsidR="00CE5A47" w:rsidRPr="000A03F1">
        <w:rPr>
          <w:rFonts w:ascii="Times New Roman" w:hAnsi="Times New Roman" w:cs="Times New Roman"/>
          <w:sz w:val="24"/>
          <w:szCs w:val="24"/>
        </w:rPr>
        <w:t xml:space="preserve">It was </w:t>
      </w:r>
      <w:r w:rsidR="00FC46E4" w:rsidRPr="000A03F1">
        <w:rPr>
          <w:rFonts w:ascii="Times New Roman" w:hAnsi="Times New Roman" w:cs="Times New Roman"/>
          <w:sz w:val="24"/>
          <w:szCs w:val="24"/>
        </w:rPr>
        <w:t xml:space="preserve">also </w:t>
      </w:r>
      <w:r w:rsidR="00CE5A47" w:rsidRPr="000A03F1">
        <w:rPr>
          <w:rFonts w:ascii="Times New Roman" w:hAnsi="Times New Roman" w:cs="Times New Roman"/>
          <w:sz w:val="24"/>
          <w:szCs w:val="24"/>
        </w:rPr>
        <w:t xml:space="preserve">estimated from </w:t>
      </w:r>
      <w:r w:rsidR="000E636B" w:rsidRPr="000A03F1">
        <w:rPr>
          <w:rFonts w:ascii="Times New Roman" w:hAnsi="Times New Roman" w:cs="Times New Roman"/>
          <w:sz w:val="24"/>
          <w:szCs w:val="24"/>
        </w:rPr>
        <w:t>the model fitting</w:t>
      </w:r>
      <w:r w:rsidR="00CE5A47" w:rsidRPr="000A03F1">
        <w:rPr>
          <w:rFonts w:ascii="Times New Roman" w:hAnsi="Times New Roman" w:cs="Times New Roman"/>
          <w:sz w:val="24"/>
          <w:szCs w:val="24"/>
        </w:rPr>
        <w:t xml:space="preserve"> that the average seroprevalence rate in group A was 70% while the overall seroprevalence in the population was 97%. Using equation (1) and the target of vaccination was at 88%, the vaccination coverage achieved would be 62%.</w:t>
      </w:r>
    </w:p>
    <w:p w14:paraId="41BCD5D1" w14:textId="15407C23" w:rsidR="00CE5A47" w:rsidRPr="000A03F1" w:rsidRDefault="004448F2" w:rsidP="004448F2">
      <w:pPr>
        <w:pStyle w:val="Heading2"/>
        <w:rPr>
          <w:rFonts w:ascii="Times New Roman" w:hAnsi="Times New Roman" w:cs="Times New Roman"/>
        </w:rPr>
      </w:pPr>
      <w:r w:rsidRPr="000A03F1">
        <w:rPr>
          <w:rFonts w:ascii="Times New Roman" w:hAnsi="Times New Roman" w:cs="Times New Roman"/>
        </w:rPr>
        <w:t xml:space="preserve">3.3. </w:t>
      </w:r>
      <w:r w:rsidR="00CE5A47" w:rsidRPr="000A03F1">
        <w:rPr>
          <w:rFonts w:ascii="Times New Roman" w:hAnsi="Times New Roman" w:cs="Times New Roman"/>
        </w:rPr>
        <w:t>Scenario analys</w:t>
      </w:r>
      <w:r w:rsidR="00D91AFB" w:rsidRPr="000A03F1">
        <w:rPr>
          <w:rFonts w:ascii="Times New Roman" w:hAnsi="Times New Roman" w:cs="Times New Roman"/>
        </w:rPr>
        <w:t>i</w:t>
      </w:r>
      <w:r w:rsidR="00CE5A47" w:rsidRPr="000A03F1">
        <w:rPr>
          <w:rFonts w:ascii="Times New Roman" w:hAnsi="Times New Roman" w:cs="Times New Roman"/>
        </w:rPr>
        <w:t>s</w:t>
      </w:r>
    </w:p>
    <w:p w14:paraId="695A014F" w14:textId="77777777" w:rsidR="00EB3632" w:rsidRPr="000A03F1" w:rsidRDefault="00EB3632" w:rsidP="00EB3632">
      <w:pPr>
        <w:spacing w:line="480" w:lineRule="auto"/>
        <w:contextualSpacing/>
        <w:jc w:val="both"/>
        <w:rPr>
          <w:rFonts w:ascii="Times New Roman" w:hAnsi="Times New Roman" w:cs="Times New Roman"/>
          <w:sz w:val="24"/>
          <w:szCs w:val="24"/>
        </w:rPr>
      </w:pPr>
      <w:r w:rsidRPr="000A03F1">
        <w:rPr>
          <w:rFonts w:ascii="Times New Roman" w:hAnsi="Times New Roman" w:cs="Times New Roman"/>
          <w:b/>
          <w:bCs/>
          <w:sz w:val="24"/>
          <w:szCs w:val="24"/>
        </w:rPr>
        <w:t>Table 3</w:t>
      </w:r>
      <w:r w:rsidRPr="000A03F1">
        <w:rPr>
          <w:rFonts w:ascii="Times New Roman" w:hAnsi="Times New Roman" w:cs="Times New Roman"/>
          <w:sz w:val="24"/>
          <w:szCs w:val="24"/>
        </w:rPr>
        <w:t>. Detailed description of each scenario along with the number of vaccines and screening needed in the population.</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7"/>
        <w:gridCol w:w="1278"/>
        <w:gridCol w:w="1760"/>
        <w:gridCol w:w="1145"/>
        <w:gridCol w:w="1182"/>
        <w:gridCol w:w="1014"/>
        <w:gridCol w:w="986"/>
        <w:gridCol w:w="928"/>
      </w:tblGrid>
      <w:tr w:rsidR="00EB3632" w:rsidRPr="000A03F1" w14:paraId="79ECBA07" w14:textId="77777777" w:rsidTr="009E6A05">
        <w:tc>
          <w:tcPr>
            <w:tcW w:w="560" w:type="pct"/>
            <w:shd w:val="clear" w:color="auto" w:fill="auto"/>
            <w:tcMar>
              <w:top w:w="100" w:type="dxa"/>
              <w:left w:w="100" w:type="dxa"/>
              <w:bottom w:w="100" w:type="dxa"/>
              <w:right w:w="100" w:type="dxa"/>
            </w:tcMar>
          </w:tcPr>
          <w:p w14:paraId="3CF11E79"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Scenario</w:t>
            </w:r>
          </w:p>
        </w:tc>
        <w:tc>
          <w:tcPr>
            <w:tcW w:w="684" w:type="pct"/>
            <w:shd w:val="clear" w:color="auto" w:fill="auto"/>
            <w:tcMar>
              <w:top w:w="100" w:type="dxa"/>
              <w:left w:w="100" w:type="dxa"/>
              <w:bottom w:w="100" w:type="dxa"/>
              <w:right w:w="100" w:type="dxa"/>
            </w:tcMar>
          </w:tcPr>
          <w:p w14:paraId="092ADB95"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Screening description</w:t>
            </w:r>
          </w:p>
        </w:tc>
        <w:tc>
          <w:tcPr>
            <w:tcW w:w="942" w:type="pct"/>
            <w:shd w:val="clear" w:color="auto" w:fill="auto"/>
            <w:tcMar>
              <w:top w:w="100" w:type="dxa"/>
              <w:left w:w="100" w:type="dxa"/>
              <w:bottom w:w="100" w:type="dxa"/>
              <w:right w:w="100" w:type="dxa"/>
            </w:tcMar>
          </w:tcPr>
          <w:p w14:paraId="4C368B84"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Vaccination description</w:t>
            </w:r>
          </w:p>
        </w:tc>
        <w:tc>
          <w:tcPr>
            <w:tcW w:w="613" w:type="pct"/>
          </w:tcPr>
          <w:p w14:paraId="63931D1E"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Vaccine coverage</w:t>
            </w:r>
          </w:p>
          <w:p w14:paraId="1DD103C2" w14:textId="3FF4F3E6"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p>
        </w:tc>
        <w:tc>
          <w:tcPr>
            <w:tcW w:w="633" w:type="pct"/>
          </w:tcPr>
          <w:p w14:paraId="7689E69D"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Screening coverage</w:t>
            </w:r>
          </w:p>
          <w:p w14:paraId="23611DA2" w14:textId="333D9DB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p>
        </w:tc>
        <w:tc>
          <w:tcPr>
            <w:tcW w:w="543" w:type="pct"/>
          </w:tcPr>
          <w:p w14:paraId="5FBA886C"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DHF cases averted in age group A</w:t>
            </w:r>
          </w:p>
        </w:tc>
        <w:tc>
          <w:tcPr>
            <w:tcW w:w="528" w:type="pct"/>
          </w:tcPr>
          <w:p w14:paraId="12107665"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DHF cases averted in age group B</w:t>
            </w:r>
          </w:p>
        </w:tc>
        <w:tc>
          <w:tcPr>
            <w:tcW w:w="497" w:type="pct"/>
          </w:tcPr>
          <w:p w14:paraId="1C9ACE65"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b/>
                <w:bCs/>
                <w:sz w:val="20"/>
                <w:szCs w:val="20"/>
              </w:rPr>
            </w:pPr>
            <w:r w:rsidRPr="000A03F1">
              <w:rPr>
                <w:rFonts w:ascii="Times New Roman" w:hAnsi="Times New Roman" w:cs="Times New Roman"/>
                <w:b/>
                <w:bCs/>
                <w:sz w:val="20"/>
                <w:szCs w:val="20"/>
              </w:rPr>
              <w:t>Total DHF cases averted</w:t>
            </w:r>
          </w:p>
        </w:tc>
      </w:tr>
      <w:tr w:rsidR="00EB3632" w:rsidRPr="000A03F1" w14:paraId="0F2956CB" w14:textId="77777777" w:rsidTr="009E6A05">
        <w:tc>
          <w:tcPr>
            <w:tcW w:w="560" w:type="pct"/>
            <w:shd w:val="clear" w:color="auto" w:fill="auto"/>
            <w:tcMar>
              <w:top w:w="100" w:type="dxa"/>
              <w:left w:w="100" w:type="dxa"/>
              <w:bottom w:w="100" w:type="dxa"/>
              <w:right w:w="100" w:type="dxa"/>
            </w:tcMar>
          </w:tcPr>
          <w:p w14:paraId="09A9875F"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w:t>
            </w:r>
          </w:p>
        </w:tc>
        <w:tc>
          <w:tcPr>
            <w:tcW w:w="684" w:type="pct"/>
            <w:shd w:val="clear" w:color="auto" w:fill="auto"/>
            <w:tcMar>
              <w:top w:w="100" w:type="dxa"/>
              <w:left w:w="100" w:type="dxa"/>
              <w:bottom w:w="100" w:type="dxa"/>
              <w:right w:w="100" w:type="dxa"/>
            </w:tcMar>
          </w:tcPr>
          <w:p w14:paraId="47BAFF7C"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Screening: Yes, to all 0-14 years old children prior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vaccination</w:t>
            </w:r>
          </w:p>
        </w:tc>
        <w:tc>
          <w:tcPr>
            <w:tcW w:w="942" w:type="pct"/>
            <w:shd w:val="clear" w:color="auto" w:fill="auto"/>
            <w:tcMar>
              <w:top w:w="100" w:type="dxa"/>
              <w:left w:w="100" w:type="dxa"/>
              <w:bottom w:w="100" w:type="dxa"/>
              <w:right w:w="100" w:type="dxa"/>
            </w:tcMar>
          </w:tcPr>
          <w:p w14:paraId="6BE805D2"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w:t>
            </w:r>
          </w:p>
          <w:p w14:paraId="3F3437F5"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only to seropositive children aged 0-14 years old.</w:t>
            </w:r>
          </w:p>
          <w:p w14:paraId="515396C8" w14:textId="77777777" w:rsidR="00EB3632" w:rsidRPr="000A03F1" w:rsidRDefault="00EB3632" w:rsidP="009E6A05">
            <w:pPr>
              <w:widowControl w:val="0"/>
              <w:spacing w:line="240" w:lineRule="auto"/>
              <w:contextualSpacing/>
              <w:rPr>
                <w:rFonts w:ascii="Times New Roman" w:hAnsi="Times New Roman" w:cs="Times New Roman"/>
                <w:sz w:val="20"/>
                <w:szCs w:val="20"/>
              </w:rPr>
            </w:pPr>
          </w:p>
          <w:p w14:paraId="0ECC5C43"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 74%</w:t>
            </w:r>
          </w:p>
        </w:tc>
        <w:tc>
          <w:tcPr>
            <w:tcW w:w="613" w:type="pct"/>
          </w:tcPr>
          <w:p w14:paraId="50FC3581"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633" w:type="pct"/>
          </w:tcPr>
          <w:p w14:paraId="769D746B"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92%</w:t>
            </w:r>
          </w:p>
        </w:tc>
        <w:tc>
          <w:tcPr>
            <w:tcW w:w="543" w:type="pct"/>
          </w:tcPr>
          <w:p w14:paraId="118835EB"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66%</w:t>
            </w:r>
          </w:p>
        </w:tc>
        <w:tc>
          <w:tcPr>
            <w:tcW w:w="528" w:type="pct"/>
          </w:tcPr>
          <w:p w14:paraId="31893464"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66%</w:t>
            </w:r>
          </w:p>
        </w:tc>
        <w:tc>
          <w:tcPr>
            <w:tcW w:w="497" w:type="pct"/>
          </w:tcPr>
          <w:p w14:paraId="77ABA6C2"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66%</w:t>
            </w:r>
          </w:p>
        </w:tc>
      </w:tr>
      <w:tr w:rsidR="00EB3632" w:rsidRPr="000A03F1" w14:paraId="72380DAB" w14:textId="77777777" w:rsidTr="009E6A05">
        <w:tc>
          <w:tcPr>
            <w:tcW w:w="560" w:type="pct"/>
            <w:shd w:val="clear" w:color="auto" w:fill="auto"/>
            <w:tcMar>
              <w:top w:w="100" w:type="dxa"/>
              <w:left w:w="100" w:type="dxa"/>
              <w:bottom w:w="100" w:type="dxa"/>
              <w:right w:w="100" w:type="dxa"/>
            </w:tcMar>
          </w:tcPr>
          <w:p w14:paraId="3FF35607"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2</w:t>
            </w:r>
          </w:p>
        </w:tc>
        <w:tc>
          <w:tcPr>
            <w:tcW w:w="684" w:type="pct"/>
            <w:shd w:val="clear" w:color="auto" w:fill="auto"/>
            <w:tcMar>
              <w:top w:w="100" w:type="dxa"/>
              <w:left w:w="100" w:type="dxa"/>
              <w:bottom w:w="100" w:type="dxa"/>
              <w:right w:w="100" w:type="dxa"/>
            </w:tcMar>
          </w:tcPr>
          <w:p w14:paraId="753831CB"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Screening: No</w:t>
            </w:r>
          </w:p>
          <w:p w14:paraId="07DB1E21" w14:textId="77777777" w:rsidR="00EB3632" w:rsidRPr="000A03F1" w:rsidRDefault="00EB3632" w:rsidP="009E6A05">
            <w:pPr>
              <w:widowControl w:val="0"/>
              <w:spacing w:line="240" w:lineRule="auto"/>
              <w:contextualSpacing/>
              <w:rPr>
                <w:rFonts w:ascii="Times New Roman" w:hAnsi="Times New Roman" w:cs="Times New Roman"/>
                <w:sz w:val="20"/>
                <w:szCs w:val="20"/>
              </w:rPr>
            </w:pPr>
          </w:p>
        </w:tc>
        <w:tc>
          <w:tcPr>
            <w:tcW w:w="942" w:type="pct"/>
            <w:shd w:val="clear" w:color="auto" w:fill="auto"/>
            <w:tcMar>
              <w:top w:w="100" w:type="dxa"/>
              <w:left w:w="100" w:type="dxa"/>
              <w:bottom w:w="100" w:type="dxa"/>
              <w:right w:w="100" w:type="dxa"/>
            </w:tcMar>
          </w:tcPr>
          <w:p w14:paraId="7C1F8252"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w:t>
            </w:r>
          </w:p>
          <w:p w14:paraId="5FD775AE" w14:textId="77777777" w:rsidR="00EB3632" w:rsidRPr="000A03F1" w:rsidRDefault="00EB3632" w:rsidP="009E6A05">
            <w:pPr>
              <w:widowControl w:val="0"/>
              <w:spacing w:line="240" w:lineRule="auto"/>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to all children aged 0-14 years old regardless their serostatus.</w:t>
            </w:r>
          </w:p>
          <w:p w14:paraId="67CA71A5" w14:textId="77777777" w:rsidR="00EB3632" w:rsidRPr="000A03F1" w:rsidRDefault="00EB3632" w:rsidP="009E6A05">
            <w:pPr>
              <w:widowControl w:val="0"/>
              <w:spacing w:line="240" w:lineRule="auto"/>
              <w:contextualSpacing/>
              <w:rPr>
                <w:rFonts w:ascii="Times New Roman" w:hAnsi="Times New Roman" w:cs="Times New Roman"/>
                <w:sz w:val="20"/>
                <w:szCs w:val="20"/>
              </w:rPr>
            </w:pPr>
          </w:p>
          <w:p w14:paraId="5C76B42F"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 74%</w:t>
            </w:r>
          </w:p>
        </w:tc>
        <w:tc>
          <w:tcPr>
            <w:tcW w:w="613" w:type="pct"/>
          </w:tcPr>
          <w:p w14:paraId="50EB68D5"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633" w:type="pct"/>
          </w:tcPr>
          <w:p w14:paraId="72219396"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0%</w:t>
            </w:r>
          </w:p>
        </w:tc>
        <w:tc>
          <w:tcPr>
            <w:tcW w:w="543" w:type="pct"/>
          </w:tcPr>
          <w:p w14:paraId="0D27C407"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35%</w:t>
            </w:r>
          </w:p>
        </w:tc>
        <w:tc>
          <w:tcPr>
            <w:tcW w:w="528" w:type="pct"/>
          </w:tcPr>
          <w:p w14:paraId="4997EEA0"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28%</w:t>
            </w:r>
          </w:p>
        </w:tc>
        <w:tc>
          <w:tcPr>
            <w:tcW w:w="497" w:type="pct"/>
          </w:tcPr>
          <w:p w14:paraId="64AA3ECC" w14:textId="72FE1096"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w:t>
            </w:r>
            <w:r w:rsidR="00755065">
              <w:rPr>
                <w:rFonts w:ascii="Times New Roman" w:hAnsi="Times New Roman" w:cs="Times New Roman"/>
                <w:sz w:val="20"/>
                <w:szCs w:val="20"/>
              </w:rPr>
              <w:t>0</w:t>
            </w:r>
            <w:r w:rsidRPr="000A03F1">
              <w:rPr>
                <w:rFonts w:ascii="Times New Roman" w:hAnsi="Times New Roman" w:cs="Times New Roman"/>
                <w:sz w:val="20"/>
                <w:szCs w:val="20"/>
              </w:rPr>
              <w:t>%</w:t>
            </w:r>
          </w:p>
        </w:tc>
      </w:tr>
      <w:tr w:rsidR="00EB3632" w:rsidRPr="000A03F1" w14:paraId="5D6B62F1" w14:textId="77777777" w:rsidTr="009E6A05">
        <w:tc>
          <w:tcPr>
            <w:tcW w:w="560" w:type="pct"/>
            <w:shd w:val="clear" w:color="auto" w:fill="auto"/>
            <w:tcMar>
              <w:top w:w="100" w:type="dxa"/>
              <w:left w:w="100" w:type="dxa"/>
              <w:bottom w:w="100" w:type="dxa"/>
              <w:right w:w="100" w:type="dxa"/>
            </w:tcMar>
          </w:tcPr>
          <w:p w14:paraId="6B715919"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w:t>
            </w:r>
          </w:p>
        </w:tc>
        <w:tc>
          <w:tcPr>
            <w:tcW w:w="684" w:type="pct"/>
            <w:shd w:val="clear" w:color="auto" w:fill="auto"/>
            <w:tcMar>
              <w:top w:w="100" w:type="dxa"/>
              <w:left w:w="100" w:type="dxa"/>
              <w:bottom w:w="100" w:type="dxa"/>
              <w:right w:w="100" w:type="dxa"/>
            </w:tcMar>
          </w:tcPr>
          <w:p w14:paraId="7673F736"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Screening: Yes, to all 0-14 years old children prior </w:t>
            </w: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vaccination</w:t>
            </w:r>
          </w:p>
          <w:p w14:paraId="59DFB872" w14:textId="77777777" w:rsidR="00EB3632" w:rsidRPr="000A03F1" w:rsidRDefault="00EB3632" w:rsidP="009E6A05">
            <w:pPr>
              <w:widowControl w:val="0"/>
              <w:spacing w:line="240" w:lineRule="auto"/>
              <w:contextualSpacing/>
              <w:rPr>
                <w:rFonts w:ascii="Times New Roman" w:hAnsi="Times New Roman" w:cs="Times New Roman"/>
                <w:sz w:val="20"/>
                <w:szCs w:val="20"/>
              </w:rPr>
            </w:pPr>
          </w:p>
        </w:tc>
        <w:tc>
          <w:tcPr>
            <w:tcW w:w="942" w:type="pct"/>
            <w:shd w:val="clear" w:color="auto" w:fill="auto"/>
            <w:tcMar>
              <w:top w:w="100" w:type="dxa"/>
              <w:left w:w="100" w:type="dxa"/>
              <w:bottom w:w="100" w:type="dxa"/>
              <w:right w:w="100" w:type="dxa"/>
            </w:tcMar>
          </w:tcPr>
          <w:p w14:paraId="76B3C18E"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w:t>
            </w:r>
          </w:p>
          <w:p w14:paraId="6915641D" w14:textId="77777777" w:rsidR="00EB3632" w:rsidRPr="000A03F1" w:rsidRDefault="00EB3632" w:rsidP="009E6A05">
            <w:pPr>
              <w:widowControl w:val="0"/>
              <w:spacing w:line="240" w:lineRule="auto"/>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only to seropositive children aged 0-14 years old.</w:t>
            </w:r>
          </w:p>
          <w:p w14:paraId="74AE8C5E" w14:textId="77777777" w:rsidR="00EB3632" w:rsidRPr="000A03F1" w:rsidRDefault="00EB3632" w:rsidP="009E6A05">
            <w:pPr>
              <w:widowControl w:val="0"/>
              <w:spacing w:line="240" w:lineRule="auto"/>
              <w:contextualSpacing/>
              <w:rPr>
                <w:rFonts w:ascii="Times New Roman" w:hAnsi="Times New Roman" w:cs="Times New Roman"/>
                <w:sz w:val="20"/>
                <w:szCs w:val="20"/>
              </w:rPr>
            </w:pPr>
          </w:p>
          <w:p w14:paraId="674BD833"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 74%</w:t>
            </w:r>
          </w:p>
        </w:tc>
        <w:tc>
          <w:tcPr>
            <w:tcW w:w="613" w:type="pct"/>
          </w:tcPr>
          <w:p w14:paraId="63B205A6"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633" w:type="pct"/>
          </w:tcPr>
          <w:p w14:paraId="3F8FAB70"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92%</w:t>
            </w:r>
          </w:p>
        </w:tc>
        <w:tc>
          <w:tcPr>
            <w:tcW w:w="543" w:type="pct"/>
          </w:tcPr>
          <w:p w14:paraId="05B0C461" w14:textId="3C50CFA2"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D90D14">
              <w:rPr>
                <w:rFonts w:ascii="Times New Roman" w:hAnsi="Times New Roman" w:cs="Times New Roman"/>
                <w:sz w:val="20"/>
                <w:szCs w:val="20"/>
              </w:rPr>
              <w:t>8</w:t>
            </w:r>
            <w:r w:rsidRPr="000A03F1">
              <w:rPr>
                <w:rFonts w:ascii="Times New Roman" w:hAnsi="Times New Roman" w:cs="Times New Roman"/>
                <w:sz w:val="20"/>
                <w:szCs w:val="20"/>
              </w:rPr>
              <w:t>%</w:t>
            </w:r>
          </w:p>
        </w:tc>
        <w:tc>
          <w:tcPr>
            <w:tcW w:w="528" w:type="pct"/>
          </w:tcPr>
          <w:p w14:paraId="696A64CC" w14:textId="71220E0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D90D14">
              <w:rPr>
                <w:rFonts w:ascii="Times New Roman" w:hAnsi="Times New Roman" w:cs="Times New Roman"/>
                <w:sz w:val="20"/>
                <w:szCs w:val="20"/>
              </w:rPr>
              <w:t>6</w:t>
            </w:r>
            <w:r w:rsidRPr="000A03F1">
              <w:rPr>
                <w:rFonts w:ascii="Times New Roman" w:hAnsi="Times New Roman" w:cs="Times New Roman"/>
                <w:sz w:val="20"/>
                <w:szCs w:val="20"/>
              </w:rPr>
              <w:t>%</w:t>
            </w:r>
          </w:p>
        </w:tc>
        <w:tc>
          <w:tcPr>
            <w:tcW w:w="497" w:type="pct"/>
          </w:tcPr>
          <w:p w14:paraId="31A9E2B7" w14:textId="6EA347B2"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D90D14">
              <w:rPr>
                <w:rFonts w:ascii="Times New Roman" w:hAnsi="Times New Roman" w:cs="Times New Roman"/>
                <w:sz w:val="20"/>
                <w:szCs w:val="20"/>
              </w:rPr>
              <w:t>7</w:t>
            </w:r>
            <w:r w:rsidRPr="000A03F1">
              <w:rPr>
                <w:rFonts w:ascii="Times New Roman" w:hAnsi="Times New Roman" w:cs="Times New Roman"/>
                <w:sz w:val="20"/>
                <w:szCs w:val="20"/>
              </w:rPr>
              <w:t>%</w:t>
            </w:r>
          </w:p>
        </w:tc>
      </w:tr>
      <w:tr w:rsidR="00EB3632" w:rsidRPr="000A03F1" w14:paraId="4597F449" w14:textId="77777777" w:rsidTr="009E6A05">
        <w:tc>
          <w:tcPr>
            <w:tcW w:w="560" w:type="pct"/>
            <w:shd w:val="clear" w:color="auto" w:fill="auto"/>
            <w:tcMar>
              <w:top w:w="100" w:type="dxa"/>
              <w:left w:w="100" w:type="dxa"/>
              <w:bottom w:w="100" w:type="dxa"/>
              <w:right w:w="100" w:type="dxa"/>
            </w:tcMar>
          </w:tcPr>
          <w:p w14:paraId="7BBF96EE"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p>
        </w:tc>
        <w:tc>
          <w:tcPr>
            <w:tcW w:w="684" w:type="pct"/>
            <w:shd w:val="clear" w:color="auto" w:fill="auto"/>
            <w:tcMar>
              <w:top w:w="100" w:type="dxa"/>
              <w:left w:w="100" w:type="dxa"/>
              <w:bottom w:w="100" w:type="dxa"/>
              <w:right w:w="100" w:type="dxa"/>
            </w:tcMar>
          </w:tcPr>
          <w:p w14:paraId="000E316F"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Screening: Yes, only to 0-14 years </w:t>
            </w:r>
            <w:r w:rsidRPr="000A03F1">
              <w:rPr>
                <w:rFonts w:ascii="Times New Roman" w:hAnsi="Times New Roman" w:cs="Times New Roman"/>
                <w:sz w:val="20"/>
                <w:szCs w:val="20"/>
              </w:rPr>
              <w:lastRenderedPageBreak/>
              <w:t xml:space="preserve">old children prior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vaccination</w:t>
            </w:r>
          </w:p>
        </w:tc>
        <w:tc>
          <w:tcPr>
            <w:tcW w:w="942" w:type="pct"/>
            <w:shd w:val="clear" w:color="auto" w:fill="auto"/>
            <w:tcMar>
              <w:top w:w="100" w:type="dxa"/>
              <w:left w:w="100" w:type="dxa"/>
              <w:bottom w:w="100" w:type="dxa"/>
              <w:right w:w="100" w:type="dxa"/>
            </w:tcMar>
          </w:tcPr>
          <w:p w14:paraId="3B8B244D"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lastRenderedPageBreak/>
              <w:t>Vaccine:</w:t>
            </w:r>
          </w:p>
          <w:p w14:paraId="63FC618F" w14:textId="77777777" w:rsidR="00EB3632" w:rsidRPr="000A03F1" w:rsidRDefault="00EB3632" w:rsidP="009E6A05">
            <w:pPr>
              <w:widowControl w:val="0"/>
              <w:numPr>
                <w:ilvl w:val="0"/>
                <w:numId w:val="2"/>
              </w:numPr>
              <w:spacing w:line="240" w:lineRule="auto"/>
              <w:ind w:left="450"/>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to seropositive </w:t>
            </w:r>
            <w:r w:rsidRPr="000A03F1">
              <w:rPr>
                <w:rFonts w:ascii="Times New Roman" w:hAnsi="Times New Roman" w:cs="Times New Roman"/>
                <w:sz w:val="20"/>
                <w:szCs w:val="20"/>
              </w:rPr>
              <w:lastRenderedPageBreak/>
              <w:t>children aged 0-14 years old.</w:t>
            </w:r>
          </w:p>
          <w:p w14:paraId="64378C47" w14:textId="77777777" w:rsidR="00EB3632" w:rsidRPr="000A03F1" w:rsidRDefault="00EB3632" w:rsidP="009E6A05">
            <w:pPr>
              <w:widowControl w:val="0"/>
              <w:numPr>
                <w:ilvl w:val="0"/>
                <w:numId w:val="2"/>
              </w:numPr>
              <w:spacing w:line="240" w:lineRule="auto"/>
              <w:ind w:left="450"/>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to children aged 0-14 years old regardless their serostatus.</w:t>
            </w:r>
          </w:p>
          <w:p w14:paraId="420D7E1F"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 74% (50:50)</w:t>
            </w:r>
          </w:p>
        </w:tc>
        <w:tc>
          <w:tcPr>
            <w:tcW w:w="613" w:type="pct"/>
          </w:tcPr>
          <w:p w14:paraId="1AAC4E8B"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lastRenderedPageBreak/>
              <w:t>62%</w:t>
            </w:r>
          </w:p>
        </w:tc>
        <w:tc>
          <w:tcPr>
            <w:tcW w:w="633" w:type="pct"/>
          </w:tcPr>
          <w:p w14:paraId="5F4DF7D2"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46%</w:t>
            </w:r>
          </w:p>
        </w:tc>
        <w:tc>
          <w:tcPr>
            <w:tcW w:w="543" w:type="pct"/>
          </w:tcPr>
          <w:p w14:paraId="4D291E83" w14:textId="2C53E043"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6F28B6">
              <w:rPr>
                <w:rFonts w:ascii="Times New Roman" w:hAnsi="Times New Roman" w:cs="Times New Roman"/>
                <w:sz w:val="20"/>
                <w:szCs w:val="20"/>
              </w:rPr>
              <w:t>3</w:t>
            </w:r>
            <w:r w:rsidRPr="000A03F1">
              <w:rPr>
                <w:rFonts w:ascii="Times New Roman" w:hAnsi="Times New Roman" w:cs="Times New Roman"/>
                <w:sz w:val="20"/>
                <w:szCs w:val="20"/>
              </w:rPr>
              <w:t>%</w:t>
            </w:r>
          </w:p>
        </w:tc>
        <w:tc>
          <w:tcPr>
            <w:tcW w:w="528" w:type="pct"/>
          </w:tcPr>
          <w:p w14:paraId="3D845EA8"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38%</w:t>
            </w:r>
          </w:p>
        </w:tc>
        <w:tc>
          <w:tcPr>
            <w:tcW w:w="497" w:type="pct"/>
          </w:tcPr>
          <w:p w14:paraId="1A302F6C"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40%</w:t>
            </w:r>
          </w:p>
        </w:tc>
      </w:tr>
      <w:tr w:rsidR="00EB3632" w:rsidRPr="000A03F1" w14:paraId="7A22949E" w14:textId="77777777" w:rsidTr="009E6A05">
        <w:tc>
          <w:tcPr>
            <w:tcW w:w="560" w:type="pct"/>
            <w:shd w:val="clear" w:color="auto" w:fill="auto"/>
            <w:tcMar>
              <w:top w:w="100" w:type="dxa"/>
              <w:left w:w="100" w:type="dxa"/>
              <w:bottom w:w="100" w:type="dxa"/>
              <w:right w:w="100" w:type="dxa"/>
            </w:tcMar>
          </w:tcPr>
          <w:p w14:paraId="71837B3E"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p>
        </w:tc>
        <w:tc>
          <w:tcPr>
            <w:tcW w:w="684" w:type="pct"/>
            <w:shd w:val="clear" w:color="auto" w:fill="auto"/>
            <w:tcMar>
              <w:top w:w="100" w:type="dxa"/>
              <w:left w:w="100" w:type="dxa"/>
              <w:bottom w:w="100" w:type="dxa"/>
              <w:right w:w="100" w:type="dxa"/>
            </w:tcMar>
          </w:tcPr>
          <w:p w14:paraId="5C1BFAD9"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Screening: Yes, to all 0-14 years old children prior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or </w:t>
            </w: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vaccination</w:t>
            </w:r>
          </w:p>
        </w:tc>
        <w:tc>
          <w:tcPr>
            <w:tcW w:w="942" w:type="pct"/>
            <w:shd w:val="clear" w:color="auto" w:fill="auto"/>
            <w:tcMar>
              <w:top w:w="100" w:type="dxa"/>
              <w:left w:w="100" w:type="dxa"/>
              <w:bottom w:w="100" w:type="dxa"/>
              <w:right w:w="100" w:type="dxa"/>
            </w:tcMar>
          </w:tcPr>
          <w:p w14:paraId="38734474"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w:t>
            </w:r>
          </w:p>
          <w:p w14:paraId="3915E604" w14:textId="77777777" w:rsidR="00EB3632" w:rsidRPr="000A03F1" w:rsidRDefault="00EB3632" w:rsidP="009E6A05">
            <w:pPr>
              <w:widowControl w:val="0"/>
              <w:numPr>
                <w:ilvl w:val="0"/>
                <w:numId w:val="2"/>
              </w:numPr>
              <w:spacing w:line="240" w:lineRule="auto"/>
              <w:ind w:left="450"/>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to seropositive children aged 0-14 years old.</w:t>
            </w:r>
          </w:p>
          <w:p w14:paraId="1825F30F" w14:textId="77777777" w:rsidR="00EB3632" w:rsidRPr="000A03F1" w:rsidRDefault="00EB3632" w:rsidP="009E6A05">
            <w:pPr>
              <w:widowControl w:val="0"/>
              <w:numPr>
                <w:ilvl w:val="0"/>
                <w:numId w:val="2"/>
              </w:numPr>
              <w:spacing w:line="240" w:lineRule="auto"/>
              <w:ind w:left="450"/>
              <w:contextualSpacing/>
              <w:rPr>
                <w:rFonts w:ascii="Times New Roman" w:hAnsi="Times New Roman" w:cs="Times New Roman"/>
                <w:sz w:val="20"/>
                <w:szCs w:val="20"/>
              </w:rPr>
            </w:pP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to children aged 0-14 years old regardless their serostatus.</w:t>
            </w:r>
          </w:p>
          <w:p w14:paraId="02EA447E" w14:textId="77777777" w:rsidR="00EB3632" w:rsidRPr="000A03F1" w:rsidRDefault="00EB3632" w:rsidP="009E6A05">
            <w:pPr>
              <w:widowControl w:val="0"/>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Vaccine coverage: 74% (50:50)</w:t>
            </w:r>
          </w:p>
        </w:tc>
        <w:tc>
          <w:tcPr>
            <w:tcW w:w="613" w:type="pct"/>
          </w:tcPr>
          <w:p w14:paraId="70525888"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62%</w:t>
            </w:r>
          </w:p>
        </w:tc>
        <w:tc>
          <w:tcPr>
            <w:tcW w:w="633" w:type="pct"/>
          </w:tcPr>
          <w:p w14:paraId="221B538B"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92%</w:t>
            </w:r>
          </w:p>
        </w:tc>
        <w:tc>
          <w:tcPr>
            <w:tcW w:w="543" w:type="pct"/>
          </w:tcPr>
          <w:p w14:paraId="0D60C8E7"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63%</w:t>
            </w:r>
          </w:p>
        </w:tc>
        <w:tc>
          <w:tcPr>
            <w:tcW w:w="528" w:type="pct"/>
          </w:tcPr>
          <w:p w14:paraId="5507EB62" w14:textId="2FF3875A"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6F28B6">
              <w:rPr>
                <w:rFonts w:ascii="Times New Roman" w:hAnsi="Times New Roman" w:cs="Times New Roman"/>
                <w:sz w:val="20"/>
                <w:szCs w:val="20"/>
              </w:rPr>
              <w:t>3</w:t>
            </w:r>
            <w:r w:rsidRPr="000A03F1">
              <w:rPr>
                <w:rFonts w:ascii="Times New Roman" w:hAnsi="Times New Roman" w:cs="Times New Roman"/>
                <w:sz w:val="20"/>
                <w:szCs w:val="20"/>
              </w:rPr>
              <w:t>%</w:t>
            </w:r>
          </w:p>
        </w:tc>
        <w:tc>
          <w:tcPr>
            <w:tcW w:w="497" w:type="pct"/>
          </w:tcPr>
          <w:p w14:paraId="2BDDE18C" w14:textId="77777777" w:rsidR="00EB3632" w:rsidRPr="000A03F1" w:rsidRDefault="00EB3632" w:rsidP="009E6A05">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63%</w:t>
            </w:r>
          </w:p>
        </w:tc>
      </w:tr>
    </w:tbl>
    <w:p w14:paraId="1BAC6CA8" w14:textId="77777777" w:rsidR="00EB3632" w:rsidRPr="000A03F1" w:rsidRDefault="00EB3632" w:rsidP="00EB3632">
      <w:pP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 xml:space="preserve">50:50 means the probability of getting </w:t>
      </w: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or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among children is 50% for both vaccines so that each vaccine accounts for a half of the vaccination coverage. A child can only get either </w:t>
      </w:r>
      <w:proofErr w:type="spellStart"/>
      <w:r w:rsidRPr="000A03F1">
        <w:rPr>
          <w:rFonts w:ascii="Times New Roman" w:hAnsi="Times New Roman" w:cs="Times New Roman"/>
          <w:sz w:val="20"/>
          <w:szCs w:val="20"/>
        </w:rPr>
        <w:t>Qdenga</w:t>
      </w:r>
      <w:proofErr w:type="spellEnd"/>
      <w:r w:rsidRPr="000A03F1">
        <w:rPr>
          <w:rFonts w:ascii="Times New Roman" w:hAnsi="Times New Roman" w:cs="Times New Roman"/>
          <w:sz w:val="20"/>
          <w:szCs w:val="20"/>
        </w:rPr>
        <w:t xml:space="preserve"> or </w:t>
      </w:r>
      <w:proofErr w:type="spellStart"/>
      <w:r w:rsidRPr="000A03F1">
        <w:rPr>
          <w:rFonts w:ascii="Times New Roman" w:hAnsi="Times New Roman" w:cs="Times New Roman"/>
          <w:sz w:val="20"/>
          <w:szCs w:val="20"/>
        </w:rPr>
        <w:t>Dengvaxia</w:t>
      </w:r>
      <w:proofErr w:type="spellEnd"/>
      <w:r w:rsidRPr="000A03F1">
        <w:rPr>
          <w:rFonts w:ascii="Times New Roman" w:hAnsi="Times New Roman" w:cs="Times New Roman"/>
          <w:sz w:val="20"/>
          <w:szCs w:val="20"/>
        </w:rPr>
        <w:t xml:space="preserve"> vaccines upon vaccination.</w:t>
      </w:r>
    </w:p>
    <w:p w14:paraId="7DAA5A45" w14:textId="77777777" w:rsidR="00EB3632" w:rsidRPr="000A03F1" w:rsidRDefault="00EB3632" w:rsidP="00EB3632">
      <w:pPr>
        <w:rPr>
          <w:rFonts w:ascii="Times New Roman" w:hAnsi="Times New Roman" w:cs="Times New Roman"/>
        </w:rPr>
      </w:pPr>
    </w:p>
    <w:p w14:paraId="45D22E18" w14:textId="6C69FDAD" w:rsidR="007C3BDA" w:rsidRPr="000A03F1" w:rsidRDefault="00CE5A47" w:rsidP="00EB3632">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model was run to analyse the importance of screening prior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vaccination. The results </w:t>
      </w:r>
      <w:r w:rsidR="006B65C0" w:rsidRPr="000A03F1">
        <w:rPr>
          <w:rFonts w:ascii="Times New Roman" w:hAnsi="Times New Roman" w:cs="Times New Roman"/>
          <w:sz w:val="24"/>
          <w:szCs w:val="24"/>
        </w:rPr>
        <w:t>are</w:t>
      </w:r>
      <w:r w:rsidRPr="000A03F1">
        <w:rPr>
          <w:rFonts w:ascii="Times New Roman" w:hAnsi="Times New Roman" w:cs="Times New Roman"/>
          <w:sz w:val="24"/>
          <w:szCs w:val="24"/>
        </w:rPr>
        <w:t xml:space="preserve"> summarised in </w:t>
      </w:r>
      <w:r w:rsidR="0096133C" w:rsidRPr="00B74B48">
        <w:rPr>
          <w:rFonts w:ascii="Times New Roman" w:hAnsi="Times New Roman" w:cs="Times New Roman"/>
          <w:b/>
          <w:bCs/>
          <w:sz w:val="24"/>
          <w:szCs w:val="24"/>
        </w:rPr>
        <w:t>t</w:t>
      </w:r>
      <w:r w:rsidRPr="000A03F1">
        <w:rPr>
          <w:rFonts w:ascii="Times New Roman" w:hAnsi="Times New Roman" w:cs="Times New Roman"/>
          <w:b/>
          <w:sz w:val="24"/>
          <w:szCs w:val="24"/>
        </w:rPr>
        <w:t xml:space="preserve">able </w:t>
      </w:r>
      <w:r w:rsidR="00EB3632" w:rsidRPr="000A03F1">
        <w:rPr>
          <w:rFonts w:ascii="Times New Roman" w:hAnsi="Times New Roman" w:cs="Times New Roman"/>
          <w:b/>
          <w:sz w:val="24"/>
          <w:szCs w:val="24"/>
        </w:rPr>
        <w:t>3</w:t>
      </w:r>
      <w:r w:rsidRPr="000A03F1">
        <w:rPr>
          <w:rFonts w:ascii="Times New Roman" w:hAnsi="Times New Roman" w:cs="Times New Roman"/>
          <w:sz w:val="24"/>
          <w:szCs w:val="24"/>
        </w:rPr>
        <w:t xml:space="preserve">. Based on the input of vaccine efficacy profiles of both vaccines in table 1, all vaccination scenarios showed that targeting specific population can eventually reduce DHF burden in the overall population. In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only (scenario 1), it had the most cumulative DHF cases </w:t>
      </w:r>
      <w:r w:rsidR="006923CE" w:rsidRPr="000A03F1">
        <w:rPr>
          <w:rFonts w:ascii="Times New Roman" w:hAnsi="Times New Roman" w:cs="Times New Roman"/>
          <w:sz w:val="24"/>
          <w:szCs w:val="24"/>
        </w:rPr>
        <w:t xml:space="preserve">averted </w:t>
      </w:r>
      <w:r w:rsidRPr="000A03F1">
        <w:rPr>
          <w:rFonts w:ascii="Times New Roman" w:hAnsi="Times New Roman" w:cs="Times New Roman"/>
          <w:sz w:val="24"/>
          <w:szCs w:val="24"/>
        </w:rPr>
        <w:t xml:space="preserve">after 3 years at 66%. Meanwhile,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vaccines without screening (scenario 2) reduced 3-year cumulative DHF cases by 3</w:t>
      </w:r>
      <w:r w:rsidR="004D4793">
        <w:rPr>
          <w:rFonts w:ascii="Times New Roman" w:hAnsi="Times New Roman" w:cs="Times New Roman"/>
          <w:sz w:val="24"/>
          <w:szCs w:val="24"/>
        </w:rPr>
        <w:t>0</w:t>
      </w:r>
      <w:r w:rsidRPr="000A03F1">
        <w:rPr>
          <w:rFonts w:ascii="Times New Roman" w:hAnsi="Times New Roman" w:cs="Times New Roman"/>
          <w:sz w:val="24"/>
          <w:szCs w:val="24"/>
        </w:rPr>
        <w:t>%, which was lower compared to when screening was implemented (scenario 3) at 4</w:t>
      </w:r>
      <w:r w:rsidR="00CB6A1E">
        <w:rPr>
          <w:rFonts w:ascii="Times New Roman" w:hAnsi="Times New Roman" w:cs="Times New Roman"/>
          <w:sz w:val="24"/>
          <w:szCs w:val="24"/>
        </w:rPr>
        <w:t>7</w:t>
      </w:r>
      <w:r w:rsidRPr="000A03F1">
        <w:rPr>
          <w:rFonts w:ascii="Times New Roman" w:hAnsi="Times New Roman" w:cs="Times New Roman"/>
          <w:sz w:val="24"/>
          <w:szCs w:val="24"/>
        </w:rPr>
        <w:t xml:space="preserve">%. Similarly, when both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and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vaccines were used in the population, screening only to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but not to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(scenario 4) reduced total DHF cases by 40%, while applying pre-vaccination prior receiving </w:t>
      </w:r>
      <w:r w:rsidR="006B6C19" w:rsidRPr="000A03F1">
        <w:rPr>
          <w:rFonts w:ascii="Times New Roman" w:hAnsi="Times New Roman" w:cs="Times New Roman"/>
          <w:sz w:val="24"/>
          <w:szCs w:val="24"/>
        </w:rPr>
        <w:t>either vaccine</w:t>
      </w:r>
      <w:r w:rsidRPr="000A03F1">
        <w:rPr>
          <w:rFonts w:ascii="Times New Roman" w:hAnsi="Times New Roman" w:cs="Times New Roman"/>
          <w:sz w:val="24"/>
          <w:szCs w:val="24"/>
        </w:rPr>
        <w:t xml:space="preserve"> (scenario 5) can improve the DHF reduction to 63%.</w:t>
      </w:r>
    </w:p>
    <w:p w14:paraId="229AA317" w14:textId="3132E7C2" w:rsidR="00CE5A47" w:rsidRPr="000A03F1" w:rsidRDefault="00B31EBE" w:rsidP="00B31EBE">
      <w:pPr>
        <w:pStyle w:val="Heading2"/>
        <w:rPr>
          <w:rFonts w:ascii="Times New Roman" w:hAnsi="Times New Roman" w:cs="Times New Roman"/>
        </w:rPr>
      </w:pPr>
      <w:r w:rsidRPr="000A03F1">
        <w:rPr>
          <w:rFonts w:ascii="Times New Roman" w:hAnsi="Times New Roman" w:cs="Times New Roman"/>
        </w:rPr>
        <w:lastRenderedPageBreak/>
        <w:t xml:space="preserve">3.4. </w:t>
      </w:r>
      <w:r w:rsidR="00CE5A47" w:rsidRPr="000A03F1">
        <w:rPr>
          <w:rFonts w:ascii="Times New Roman" w:hAnsi="Times New Roman" w:cs="Times New Roman"/>
        </w:rPr>
        <w:t>Sensitivity analysis</w:t>
      </w:r>
    </w:p>
    <w:p w14:paraId="216F7629" w14:textId="28675622" w:rsidR="00CE5A47" w:rsidRPr="000A03F1" w:rsidRDefault="00465FE5" w:rsidP="00741A05">
      <w:pPr>
        <w:spacing w:line="480" w:lineRule="auto"/>
        <w:contextualSpacing/>
        <w:rPr>
          <w:rFonts w:ascii="Times New Roman" w:hAnsi="Times New Roman" w:cs="Times New Roman"/>
          <w:sz w:val="24"/>
          <w:szCs w:val="24"/>
        </w:rPr>
      </w:pPr>
      <w:r w:rsidRPr="000A03F1">
        <w:rPr>
          <w:rFonts w:ascii="Times New Roman" w:hAnsi="Times New Roman" w:cs="Times New Roman"/>
          <w:noProof/>
          <w:sz w:val="24"/>
          <w:szCs w:val="24"/>
        </w:rPr>
        <w:drawing>
          <wp:inline distT="0" distB="0" distL="0" distR="0" wp14:anchorId="4E71F9CA" wp14:editId="65E54A7C">
            <wp:extent cx="5962650" cy="3706495"/>
            <wp:effectExtent l="0" t="0" r="0" b="8255"/>
            <wp:docPr id="22989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3706495"/>
                    </a:xfrm>
                    <a:prstGeom prst="rect">
                      <a:avLst/>
                    </a:prstGeom>
                    <a:noFill/>
                  </pic:spPr>
                </pic:pic>
              </a:graphicData>
            </a:graphic>
          </wp:inline>
        </w:drawing>
      </w:r>
    </w:p>
    <w:p w14:paraId="5831584B" w14:textId="72F50BE4" w:rsidR="00CE5A47" w:rsidRPr="000A03F1" w:rsidRDefault="00CE5A47" w:rsidP="00297BB8">
      <w:pPr>
        <w:spacing w:line="480" w:lineRule="auto"/>
        <w:contextualSpacing/>
        <w:jc w:val="both"/>
        <w:rPr>
          <w:rFonts w:ascii="Times New Roman" w:hAnsi="Times New Roman" w:cs="Times New Roman"/>
          <w:bCs/>
          <w:sz w:val="20"/>
          <w:szCs w:val="20"/>
        </w:rPr>
      </w:pPr>
      <w:r w:rsidRPr="000A03F1">
        <w:rPr>
          <w:rFonts w:ascii="Times New Roman" w:hAnsi="Times New Roman" w:cs="Times New Roman"/>
          <w:b/>
          <w:sz w:val="20"/>
          <w:szCs w:val="20"/>
        </w:rPr>
        <w:t xml:space="preserve">Figure </w:t>
      </w:r>
      <w:r w:rsidR="001E3608" w:rsidRPr="000A03F1">
        <w:rPr>
          <w:rFonts w:ascii="Times New Roman" w:hAnsi="Times New Roman" w:cs="Times New Roman"/>
          <w:b/>
          <w:sz w:val="20"/>
          <w:szCs w:val="20"/>
        </w:rPr>
        <w:t>6</w:t>
      </w:r>
      <w:r w:rsidRPr="000A03F1">
        <w:rPr>
          <w:rFonts w:ascii="Times New Roman" w:hAnsi="Times New Roman" w:cs="Times New Roman"/>
          <w:b/>
          <w:sz w:val="20"/>
          <w:szCs w:val="20"/>
        </w:rPr>
        <w:t xml:space="preserve">. </w:t>
      </w:r>
      <w:r w:rsidRPr="000A03F1">
        <w:rPr>
          <w:rFonts w:ascii="Times New Roman" w:hAnsi="Times New Roman" w:cs="Times New Roman"/>
          <w:bCs/>
          <w:sz w:val="20"/>
          <w:szCs w:val="20"/>
        </w:rPr>
        <w:t>Four different vaccination timings (a-d). The vaccination timings were varied based on the dynamics of the circulating dynamics: when the dominating serotype was DENV-1</w:t>
      </w:r>
      <w:r w:rsidR="00583678" w:rsidRPr="000A03F1">
        <w:rPr>
          <w:rFonts w:ascii="Times New Roman" w:hAnsi="Times New Roman" w:cs="Times New Roman"/>
          <w:bCs/>
          <w:sz w:val="20"/>
          <w:szCs w:val="20"/>
        </w:rPr>
        <w:t xml:space="preserve">, started at t = </w:t>
      </w:r>
      <w:r w:rsidR="006C5E10" w:rsidRPr="000A03F1">
        <w:rPr>
          <w:rFonts w:ascii="Times New Roman" w:hAnsi="Times New Roman" w:cs="Times New Roman"/>
          <w:bCs/>
          <w:sz w:val="20"/>
          <w:szCs w:val="20"/>
        </w:rPr>
        <w:t>1321</w:t>
      </w:r>
      <w:r w:rsidRPr="000A03F1">
        <w:rPr>
          <w:rFonts w:ascii="Times New Roman" w:hAnsi="Times New Roman" w:cs="Times New Roman"/>
          <w:bCs/>
          <w:sz w:val="20"/>
          <w:szCs w:val="20"/>
        </w:rPr>
        <w:t xml:space="preserve"> (a), DENV-2</w:t>
      </w:r>
      <w:r w:rsidR="00583678" w:rsidRPr="000A03F1">
        <w:rPr>
          <w:rFonts w:ascii="Times New Roman" w:hAnsi="Times New Roman" w:cs="Times New Roman"/>
          <w:bCs/>
          <w:sz w:val="20"/>
          <w:szCs w:val="20"/>
        </w:rPr>
        <w:t xml:space="preserve">, started at t = </w:t>
      </w:r>
      <w:r w:rsidR="00C74E8C" w:rsidRPr="000A03F1">
        <w:rPr>
          <w:rFonts w:ascii="Times New Roman" w:hAnsi="Times New Roman" w:cs="Times New Roman"/>
          <w:bCs/>
          <w:sz w:val="20"/>
          <w:szCs w:val="20"/>
        </w:rPr>
        <w:t>2234</w:t>
      </w:r>
      <w:r w:rsidRPr="000A03F1">
        <w:rPr>
          <w:rFonts w:ascii="Times New Roman" w:hAnsi="Times New Roman" w:cs="Times New Roman"/>
          <w:bCs/>
          <w:sz w:val="20"/>
          <w:szCs w:val="20"/>
        </w:rPr>
        <w:t xml:space="preserve"> (b), DENV-3</w:t>
      </w:r>
      <w:r w:rsidR="00583678" w:rsidRPr="000A03F1">
        <w:rPr>
          <w:rFonts w:ascii="Times New Roman" w:hAnsi="Times New Roman" w:cs="Times New Roman"/>
          <w:bCs/>
          <w:sz w:val="20"/>
          <w:szCs w:val="20"/>
        </w:rPr>
        <w:t xml:space="preserve">, started at t = </w:t>
      </w:r>
      <w:r w:rsidR="00414BD3" w:rsidRPr="000A03F1">
        <w:rPr>
          <w:rFonts w:ascii="Times New Roman" w:hAnsi="Times New Roman" w:cs="Times New Roman"/>
          <w:bCs/>
          <w:sz w:val="20"/>
          <w:szCs w:val="20"/>
        </w:rPr>
        <w:t>3084</w:t>
      </w:r>
      <w:r w:rsidRPr="000A03F1">
        <w:rPr>
          <w:rFonts w:ascii="Times New Roman" w:hAnsi="Times New Roman" w:cs="Times New Roman"/>
          <w:bCs/>
          <w:sz w:val="20"/>
          <w:szCs w:val="20"/>
        </w:rPr>
        <w:t xml:space="preserve"> (c), and DENV-4</w:t>
      </w:r>
      <w:r w:rsidR="00583678" w:rsidRPr="000A03F1">
        <w:rPr>
          <w:rFonts w:ascii="Times New Roman" w:hAnsi="Times New Roman" w:cs="Times New Roman"/>
          <w:bCs/>
          <w:sz w:val="20"/>
          <w:szCs w:val="20"/>
        </w:rPr>
        <w:t xml:space="preserve">, started at t = </w:t>
      </w:r>
      <w:r w:rsidR="006C480D" w:rsidRPr="000A03F1">
        <w:rPr>
          <w:rFonts w:ascii="Times New Roman" w:hAnsi="Times New Roman" w:cs="Times New Roman"/>
          <w:bCs/>
          <w:sz w:val="20"/>
          <w:szCs w:val="20"/>
        </w:rPr>
        <w:t>3998</w:t>
      </w:r>
      <w:r w:rsidRPr="000A03F1">
        <w:rPr>
          <w:rFonts w:ascii="Times New Roman" w:hAnsi="Times New Roman" w:cs="Times New Roman"/>
          <w:bCs/>
          <w:sz w:val="20"/>
          <w:szCs w:val="20"/>
        </w:rPr>
        <w:t xml:space="preserve"> (d).</w:t>
      </w:r>
    </w:p>
    <w:p w14:paraId="5E6BA892" w14:textId="316282AD" w:rsidR="00CE5A47" w:rsidRPr="000A03F1" w:rsidRDefault="005C6251" w:rsidP="00741A05">
      <w:pPr>
        <w:spacing w:line="480" w:lineRule="auto"/>
        <w:contextualSpacing/>
        <w:rPr>
          <w:rFonts w:ascii="Times New Roman" w:hAnsi="Times New Roman" w:cs="Times New Roman"/>
          <w:sz w:val="24"/>
          <w:szCs w:val="24"/>
        </w:rPr>
      </w:pPr>
      <w:r w:rsidRPr="000A03F1">
        <w:rPr>
          <w:rFonts w:ascii="Times New Roman" w:hAnsi="Times New Roman" w:cs="Times New Roman"/>
          <w:noProof/>
        </w:rPr>
        <w:drawing>
          <wp:inline distT="0" distB="0" distL="0" distR="0" wp14:anchorId="10772AA3" wp14:editId="50CE7DC7">
            <wp:extent cx="5943600" cy="1724660"/>
            <wp:effectExtent l="0" t="0" r="0" b="8890"/>
            <wp:docPr id="1269911264" name="Picture 1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1264" name="Picture 15" descr="A graph with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24660"/>
                    </a:xfrm>
                    <a:prstGeom prst="rect">
                      <a:avLst/>
                    </a:prstGeom>
                    <a:noFill/>
                    <a:ln>
                      <a:noFill/>
                    </a:ln>
                  </pic:spPr>
                </pic:pic>
              </a:graphicData>
            </a:graphic>
          </wp:inline>
        </w:drawing>
      </w:r>
    </w:p>
    <w:p w14:paraId="632EDD40" w14:textId="282A2B5E" w:rsidR="00CE5A47" w:rsidRPr="000A03F1" w:rsidRDefault="00CE5A47" w:rsidP="00D279D5">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bCs/>
          <w:sz w:val="20"/>
          <w:szCs w:val="20"/>
        </w:rPr>
        <w:t xml:space="preserve">Figure </w:t>
      </w:r>
      <w:r w:rsidR="00134D98" w:rsidRPr="000A03F1">
        <w:rPr>
          <w:rFonts w:ascii="Times New Roman" w:hAnsi="Times New Roman" w:cs="Times New Roman"/>
          <w:b/>
          <w:bCs/>
          <w:sz w:val="20"/>
          <w:szCs w:val="20"/>
        </w:rPr>
        <w:t>7</w:t>
      </w:r>
      <w:r w:rsidRPr="000A03F1">
        <w:rPr>
          <w:rFonts w:ascii="Times New Roman" w:hAnsi="Times New Roman" w:cs="Times New Roman"/>
          <w:sz w:val="20"/>
          <w:szCs w:val="20"/>
        </w:rPr>
        <w:t>. The sensitivity analysis result across 5 different scenarios. The vaccination period was selected based on the time when most dominant DENV serotype occurred, e.g., timing 1 corresponded to when DENV-1 was the prevailing circulating serotype.</w:t>
      </w:r>
    </w:p>
    <w:p w14:paraId="65CDD083" w14:textId="77777777" w:rsidR="00A74226" w:rsidRPr="000A03F1" w:rsidRDefault="00A74226" w:rsidP="00741A05">
      <w:pPr>
        <w:spacing w:line="480" w:lineRule="auto"/>
        <w:contextualSpacing/>
        <w:rPr>
          <w:rFonts w:ascii="Times New Roman" w:hAnsi="Times New Roman" w:cs="Times New Roman"/>
          <w:sz w:val="20"/>
          <w:szCs w:val="20"/>
        </w:rPr>
      </w:pPr>
    </w:p>
    <w:p w14:paraId="5A521331" w14:textId="0D497064" w:rsidR="003D4BF4" w:rsidRPr="000A03F1" w:rsidRDefault="00CE5A47" w:rsidP="00A04E32">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lastRenderedPageBreak/>
        <w:t>The sensitivity analysis demonstrated that across four different vaccination campaign timings (</w:t>
      </w:r>
      <w:r w:rsidR="00A76818">
        <w:rPr>
          <w:rFonts w:ascii="Times New Roman" w:hAnsi="Times New Roman" w:cs="Times New Roman"/>
          <w:b/>
          <w:bCs/>
          <w:sz w:val="24"/>
          <w:szCs w:val="24"/>
        </w:rPr>
        <w:t>f</w:t>
      </w:r>
      <w:r w:rsidRPr="000A03F1">
        <w:rPr>
          <w:rFonts w:ascii="Times New Roman" w:hAnsi="Times New Roman" w:cs="Times New Roman"/>
          <w:b/>
          <w:bCs/>
          <w:sz w:val="24"/>
          <w:szCs w:val="24"/>
        </w:rPr>
        <w:t xml:space="preserve">ig. </w:t>
      </w:r>
      <w:r w:rsidR="00375922" w:rsidRPr="000A03F1">
        <w:rPr>
          <w:rFonts w:ascii="Times New Roman" w:hAnsi="Times New Roman" w:cs="Times New Roman"/>
          <w:b/>
          <w:bCs/>
          <w:sz w:val="24"/>
          <w:szCs w:val="24"/>
        </w:rPr>
        <w:t>6</w:t>
      </w:r>
      <w:r w:rsidRPr="000A03F1">
        <w:rPr>
          <w:rFonts w:ascii="Times New Roman" w:hAnsi="Times New Roman" w:cs="Times New Roman"/>
          <w:sz w:val="24"/>
          <w:szCs w:val="24"/>
        </w:rPr>
        <w:t>), the screening scenario consistently yielded better outcomes compared to its counterpart</w:t>
      </w:r>
      <w:r w:rsidR="005C6251" w:rsidRPr="000A03F1">
        <w:rPr>
          <w:rFonts w:ascii="Times New Roman" w:hAnsi="Times New Roman" w:cs="Times New Roman"/>
          <w:sz w:val="24"/>
          <w:szCs w:val="24"/>
        </w:rPr>
        <w:t xml:space="preserve"> scenario</w:t>
      </w:r>
      <w:r w:rsidRPr="000A03F1">
        <w:rPr>
          <w:rFonts w:ascii="Times New Roman" w:hAnsi="Times New Roman" w:cs="Times New Roman"/>
          <w:sz w:val="24"/>
          <w:szCs w:val="24"/>
        </w:rPr>
        <w:t>, as shown in scenario 2 versus scenario 3, and scenario 4 versus scenario 5 (</w:t>
      </w:r>
      <w:r w:rsidR="00A76CFB">
        <w:rPr>
          <w:rFonts w:ascii="Times New Roman" w:hAnsi="Times New Roman" w:cs="Times New Roman"/>
          <w:sz w:val="24"/>
          <w:szCs w:val="24"/>
        </w:rPr>
        <w:t>f</w:t>
      </w:r>
      <w:r w:rsidRPr="000A03F1">
        <w:rPr>
          <w:rFonts w:ascii="Times New Roman" w:hAnsi="Times New Roman" w:cs="Times New Roman"/>
          <w:b/>
          <w:bCs/>
          <w:sz w:val="24"/>
          <w:szCs w:val="24"/>
        </w:rPr>
        <w:t xml:space="preserve">ig. </w:t>
      </w:r>
      <w:r w:rsidR="00375922" w:rsidRPr="000A03F1">
        <w:rPr>
          <w:rFonts w:ascii="Times New Roman" w:hAnsi="Times New Roman" w:cs="Times New Roman"/>
          <w:b/>
          <w:bCs/>
          <w:sz w:val="24"/>
          <w:szCs w:val="24"/>
        </w:rPr>
        <w:t>7</w:t>
      </w:r>
      <w:r w:rsidRPr="000A03F1">
        <w:rPr>
          <w:rFonts w:ascii="Times New Roman" w:hAnsi="Times New Roman" w:cs="Times New Roman"/>
          <w:sz w:val="24"/>
          <w:szCs w:val="24"/>
        </w:rPr>
        <w:t xml:space="preserve">). Among all four different assumptions, scenario 2 consistently yielded the lowest outcome among the five scenarios. Within the same scenario, at four different timings, variations were also </w:t>
      </w:r>
      <w:r w:rsidR="00BB1362" w:rsidRPr="000A03F1">
        <w:rPr>
          <w:rFonts w:ascii="Times New Roman" w:hAnsi="Times New Roman" w:cs="Times New Roman"/>
          <w:sz w:val="24"/>
          <w:szCs w:val="24"/>
        </w:rPr>
        <w:t>shown</w:t>
      </w:r>
      <w:r w:rsidRPr="000A03F1">
        <w:rPr>
          <w:rFonts w:ascii="Times New Roman" w:hAnsi="Times New Roman" w:cs="Times New Roman"/>
          <w:sz w:val="24"/>
          <w:szCs w:val="24"/>
        </w:rPr>
        <w:t xml:space="preserve">, suggesting that the dynamics of circulating serotypes may influence the overall </w:t>
      </w:r>
      <w:r w:rsidR="00152653" w:rsidRPr="000A03F1">
        <w:rPr>
          <w:rFonts w:ascii="Times New Roman" w:hAnsi="Times New Roman" w:cs="Times New Roman"/>
          <w:sz w:val="24"/>
          <w:szCs w:val="24"/>
        </w:rPr>
        <w:t>impact</w:t>
      </w:r>
      <w:r w:rsidRPr="000A03F1">
        <w:rPr>
          <w:rFonts w:ascii="Times New Roman" w:hAnsi="Times New Roman" w:cs="Times New Roman"/>
          <w:sz w:val="24"/>
          <w:szCs w:val="24"/>
        </w:rPr>
        <w:t xml:space="preserve"> three years after the vaccination campaign </w:t>
      </w:r>
      <w:r w:rsidR="00AA25D4" w:rsidRPr="000A03F1">
        <w:rPr>
          <w:rFonts w:ascii="Times New Roman" w:hAnsi="Times New Roman" w:cs="Times New Roman"/>
          <w:sz w:val="24"/>
          <w:szCs w:val="24"/>
        </w:rPr>
        <w:t xml:space="preserve">had </w:t>
      </w:r>
      <w:r w:rsidRPr="000A03F1">
        <w:rPr>
          <w:rFonts w:ascii="Times New Roman" w:hAnsi="Times New Roman" w:cs="Times New Roman"/>
          <w:sz w:val="24"/>
          <w:szCs w:val="24"/>
        </w:rPr>
        <w:t>started.</w:t>
      </w:r>
      <w:r w:rsidR="00F80D82" w:rsidRPr="000A03F1">
        <w:rPr>
          <w:rFonts w:ascii="Times New Roman" w:hAnsi="Times New Roman" w:cs="Times New Roman"/>
          <w:sz w:val="24"/>
          <w:szCs w:val="24"/>
        </w:rPr>
        <w:t xml:space="preserve"> </w:t>
      </w:r>
      <w:r w:rsidR="00A06227" w:rsidRPr="000A03F1">
        <w:rPr>
          <w:rFonts w:ascii="Times New Roman" w:hAnsi="Times New Roman" w:cs="Times New Roman"/>
          <w:sz w:val="24"/>
          <w:szCs w:val="24"/>
        </w:rPr>
        <w:t>The variation was the most significant in scenario 2</w:t>
      </w:r>
      <w:r w:rsidR="003D1FAB" w:rsidRPr="000A03F1">
        <w:rPr>
          <w:rFonts w:ascii="Times New Roman" w:hAnsi="Times New Roman" w:cs="Times New Roman"/>
          <w:sz w:val="24"/>
          <w:szCs w:val="24"/>
        </w:rPr>
        <w:t xml:space="preserve">, </w:t>
      </w:r>
      <w:r w:rsidR="00F569E7" w:rsidRPr="000A03F1">
        <w:rPr>
          <w:rFonts w:ascii="Times New Roman" w:hAnsi="Times New Roman" w:cs="Times New Roman"/>
          <w:sz w:val="24"/>
          <w:szCs w:val="24"/>
        </w:rPr>
        <w:t xml:space="preserve">the scenario </w:t>
      </w:r>
      <w:r w:rsidR="003D1FAB" w:rsidRPr="000A03F1">
        <w:rPr>
          <w:rFonts w:ascii="Times New Roman" w:hAnsi="Times New Roman" w:cs="Times New Roman"/>
          <w:sz w:val="24"/>
          <w:szCs w:val="24"/>
        </w:rPr>
        <w:t>where screening was not implemented at all</w:t>
      </w:r>
      <w:r w:rsidR="00A06227" w:rsidRPr="000A03F1">
        <w:rPr>
          <w:rFonts w:ascii="Times New Roman" w:hAnsi="Times New Roman" w:cs="Times New Roman"/>
          <w:sz w:val="24"/>
          <w:szCs w:val="24"/>
        </w:rPr>
        <w:t>.</w:t>
      </w:r>
      <w:r w:rsidR="00456197" w:rsidRPr="000A03F1">
        <w:rPr>
          <w:rFonts w:ascii="Times New Roman" w:hAnsi="Times New Roman" w:cs="Times New Roman"/>
          <w:sz w:val="24"/>
          <w:szCs w:val="24"/>
        </w:rPr>
        <w:t xml:space="preserve"> </w:t>
      </w:r>
    </w:p>
    <w:p w14:paraId="17EAD5E4" w14:textId="003563F5" w:rsidR="00CE5A47" w:rsidRPr="000A03F1" w:rsidRDefault="00456197" w:rsidP="00741A05">
      <w:pPr>
        <w:spacing w:line="480" w:lineRule="auto"/>
        <w:ind w:firstLine="720"/>
        <w:contextualSpacing/>
        <w:jc w:val="both"/>
        <w:rPr>
          <w:rFonts w:ascii="Times New Roman" w:hAnsi="Times New Roman" w:cs="Times New Roman"/>
          <w:b/>
          <w:bCs/>
          <w:sz w:val="24"/>
          <w:szCs w:val="24"/>
        </w:rPr>
      </w:pPr>
      <w:r w:rsidRPr="000A03F1">
        <w:rPr>
          <w:rFonts w:ascii="Times New Roman" w:hAnsi="Times New Roman" w:cs="Times New Roman"/>
          <w:sz w:val="24"/>
          <w:szCs w:val="24"/>
        </w:rPr>
        <w:t>More importantly, we demonstrated significant differences</w:t>
      </w:r>
      <w:r w:rsidR="00A06227" w:rsidRPr="000A03F1">
        <w:rPr>
          <w:rFonts w:ascii="Times New Roman" w:hAnsi="Times New Roman" w:cs="Times New Roman"/>
          <w:sz w:val="24"/>
          <w:szCs w:val="24"/>
        </w:rPr>
        <w:t xml:space="preserve"> </w:t>
      </w:r>
      <w:r w:rsidRPr="000A03F1">
        <w:rPr>
          <w:rFonts w:ascii="Times New Roman" w:hAnsi="Times New Roman" w:cs="Times New Roman"/>
          <w:sz w:val="24"/>
          <w:szCs w:val="24"/>
        </w:rPr>
        <w:t xml:space="preserve">between screening </w:t>
      </w:r>
      <w:r w:rsidR="00C0619C" w:rsidRPr="000A03F1">
        <w:rPr>
          <w:rFonts w:ascii="Times New Roman" w:hAnsi="Times New Roman" w:cs="Times New Roman"/>
          <w:sz w:val="24"/>
          <w:szCs w:val="24"/>
        </w:rPr>
        <w:t>vs</w:t>
      </w:r>
      <w:r w:rsidRPr="000A03F1">
        <w:rPr>
          <w:rFonts w:ascii="Times New Roman" w:hAnsi="Times New Roman" w:cs="Times New Roman"/>
          <w:sz w:val="24"/>
          <w:szCs w:val="24"/>
        </w:rPr>
        <w:t xml:space="preserve"> non-screening scenarios of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vaccination, </w:t>
      </w:r>
      <w:r w:rsidR="0088739E" w:rsidRPr="000A03F1">
        <w:rPr>
          <w:rFonts w:ascii="Times New Roman" w:hAnsi="Times New Roman" w:cs="Times New Roman"/>
          <w:sz w:val="24"/>
          <w:szCs w:val="24"/>
        </w:rPr>
        <w:t>across four different timings</w:t>
      </w:r>
      <w:r w:rsidR="00C0619C" w:rsidRPr="000A03F1">
        <w:rPr>
          <w:rFonts w:ascii="Times New Roman" w:hAnsi="Times New Roman" w:cs="Times New Roman"/>
          <w:sz w:val="24"/>
          <w:szCs w:val="24"/>
        </w:rPr>
        <w:t xml:space="preserve"> (20% vs 63%, 7% vs 68%, 1% vs 64%, 6% vs 61% in timing 1, 2, 3, and 4, respectively).</w:t>
      </w:r>
      <w:r w:rsidRPr="000A03F1">
        <w:rPr>
          <w:rFonts w:ascii="Times New Roman" w:hAnsi="Times New Roman" w:cs="Times New Roman"/>
          <w:sz w:val="24"/>
          <w:szCs w:val="24"/>
        </w:rPr>
        <w:t xml:space="preserve"> </w:t>
      </w:r>
      <w:r w:rsidR="00CE5A47" w:rsidRPr="000A03F1">
        <w:rPr>
          <w:rFonts w:ascii="Times New Roman" w:hAnsi="Times New Roman" w:cs="Times New Roman"/>
          <w:sz w:val="24"/>
          <w:szCs w:val="24"/>
        </w:rPr>
        <w:t>The detailed result is summarised in the supplement (</w:t>
      </w:r>
      <w:r w:rsidR="00963D62" w:rsidRPr="000A03F1">
        <w:rPr>
          <w:rFonts w:ascii="Times New Roman" w:hAnsi="Times New Roman" w:cs="Times New Roman"/>
          <w:b/>
          <w:bCs/>
          <w:sz w:val="24"/>
          <w:szCs w:val="24"/>
        </w:rPr>
        <w:t>t</w:t>
      </w:r>
      <w:r w:rsidR="00CE5A47" w:rsidRPr="000A03F1">
        <w:rPr>
          <w:rFonts w:ascii="Times New Roman" w:hAnsi="Times New Roman" w:cs="Times New Roman"/>
          <w:b/>
          <w:bCs/>
          <w:sz w:val="24"/>
          <w:szCs w:val="24"/>
        </w:rPr>
        <w:t>ab</w:t>
      </w:r>
      <w:r w:rsidR="00963D62" w:rsidRPr="000A03F1">
        <w:rPr>
          <w:rFonts w:ascii="Times New Roman" w:hAnsi="Times New Roman" w:cs="Times New Roman"/>
          <w:b/>
          <w:bCs/>
          <w:sz w:val="24"/>
          <w:szCs w:val="24"/>
        </w:rPr>
        <w:t>le</w:t>
      </w:r>
      <w:r w:rsidR="00CE5A47" w:rsidRPr="000A03F1">
        <w:rPr>
          <w:rFonts w:ascii="Times New Roman" w:hAnsi="Times New Roman" w:cs="Times New Roman"/>
          <w:b/>
          <w:bCs/>
          <w:sz w:val="24"/>
          <w:szCs w:val="24"/>
        </w:rPr>
        <w:t>. S2</w:t>
      </w:r>
      <w:r w:rsidR="00CE5A47" w:rsidRPr="000A03F1">
        <w:rPr>
          <w:rFonts w:ascii="Times New Roman" w:hAnsi="Times New Roman" w:cs="Times New Roman"/>
          <w:sz w:val="24"/>
          <w:szCs w:val="24"/>
        </w:rPr>
        <w:t>)</w:t>
      </w:r>
      <w:r w:rsidR="00211526" w:rsidRPr="000A03F1">
        <w:rPr>
          <w:rFonts w:ascii="Times New Roman" w:hAnsi="Times New Roman" w:cs="Times New Roman"/>
          <w:b/>
          <w:bCs/>
          <w:sz w:val="24"/>
          <w:szCs w:val="24"/>
        </w:rPr>
        <w:t xml:space="preserve"> </w:t>
      </w:r>
      <w:r w:rsidR="00211526" w:rsidRPr="000A03F1">
        <w:rPr>
          <w:rFonts w:ascii="Times New Roman" w:hAnsi="Times New Roman" w:cs="Times New Roman"/>
          <w:sz w:val="24"/>
          <w:szCs w:val="24"/>
        </w:rPr>
        <w:t>and fig. S4-S8.</w:t>
      </w:r>
    </w:p>
    <w:p w14:paraId="02B8195F" w14:textId="4A8A9285" w:rsidR="00CE5A47" w:rsidRPr="000A03F1" w:rsidRDefault="004F7C7B" w:rsidP="004F7C7B">
      <w:pPr>
        <w:pStyle w:val="Heading1"/>
        <w:rPr>
          <w:rFonts w:ascii="Times New Roman" w:hAnsi="Times New Roman" w:cs="Times New Roman"/>
        </w:rPr>
      </w:pPr>
      <w:r w:rsidRPr="000A03F1">
        <w:rPr>
          <w:rFonts w:ascii="Times New Roman" w:hAnsi="Times New Roman" w:cs="Times New Roman"/>
        </w:rPr>
        <w:t>4. Discussion</w:t>
      </w:r>
    </w:p>
    <w:p w14:paraId="3B0304DA" w14:textId="4BC7D54C" w:rsidR="008C5F90" w:rsidRPr="000A03F1" w:rsidRDefault="00D8269E" w:rsidP="00D8269E">
      <w:pPr>
        <w:pStyle w:val="Heading2"/>
        <w:rPr>
          <w:rFonts w:ascii="Times New Roman" w:hAnsi="Times New Roman" w:cs="Times New Roman"/>
        </w:rPr>
      </w:pPr>
      <w:r w:rsidRPr="000A03F1">
        <w:rPr>
          <w:rFonts w:ascii="Times New Roman" w:hAnsi="Times New Roman" w:cs="Times New Roman"/>
        </w:rPr>
        <w:t xml:space="preserve">4.1. </w:t>
      </w:r>
      <w:r w:rsidR="00457EE1" w:rsidRPr="000A03F1">
        <w:rPr>
          <w:rFonts w:ascii="Times New Roman" w:hAnsi="Times New Roman" w:cs="Times New Roman"/>
        </w:rPr>
        <w:t>Principal summary of findings</w:t>
      </w:r>
    </w:p>
    <w:p w14:paraId="6BB21146" w14:textId="30AB9E5E" w:rsidR="00CE5A47" w:rsidRPr="000A03F1" w:rsidRDefault="00CE5A47" w:rsidP="0026497C">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Based on the distribution of cases across age groups, </w:t>
      </w:r>
      <w:r w:rsidR="00870014" w:rsidRPr="000A03F1">
        <w:rPr>
          <w:rFonts w:ascii="Times New Roman" w:hAnsi="Times New Roman" w:cs="Times New Roman"/>
          <w:sz w:val="24"/>
          <w:szCs w:val="24"/>
        </w:rPr>
        <w:t>we stratified the dengue transmission model to account for two age group</w:t>
      </w:r>
      <w:r w:rsidRPr="000A03F1">
        <w:rPr>
          <w:rFonts w:ascii="Times New Roman" w:hAnsi="Times New Roman" w:cs="Times New Roman"/>
          <w:sz w:val="24"/>
          <w:szCs w:val="24"/>
        </w:rPr>
        <w:t xml:space="preserve"> </w:t>
      </w:r>
      <w:r w:rsidR="006A4BA6" w:rsidRPr="000A03F1">
        <w:rPr>
          <w:rFonts w:ascii="Times New Roman" w:hAnsi="Times New Roman" w:cs="Times New Roman"/>
          <w:sz w:val="24"/>
          <w:szCs w:val="24"/>
        </w:rPr>
        <w:t xml:space="preserve">from 0 to </w:t>
      </w:r>
      <w:r w:rsidR="00036CF4" w:rsidRPr="000A03F1">
        <w:rPr>
          <w:rFonts w:ascii="Times New Roman" w:hAnsi="Times New Roman" w:cs="Times New Roman"/>
          <w:sz w:val="24"/>
          <w:szCs w:val="24"/>
        </w:rPr>
        <w:t xml:space="preserve">14 </w:t>
      </w:r>
      <w:r w:rsidR="00B20155" w:rsidRPr="000A03F1">
        <w:rPr>
          <w:rFonts w:ascii="Times New Roman" w:hAnsi="Times New Roman" w:cs="Times New Roman"/>
          <w:sz w:val="24"/>
          <w:szCs w:val="24"/>
        </w:rPr>
        <w:t xml:space="preserve">and </w:t>
      </w:r>
      <w:r w:rsidRPr="000A03F1">
        <w:rPr>
          <w:rFonts w:ascii="Times New Roman" w:hAnsi="Times New Roman" w:cs="Times New Roman"/>
          <w:sz w:val="24"/>
          <w:szCs w:val="24"/>
        </w:rPr>
        <w:t>15</w:t>
      </w:r>
      <w:r w:rsidR="00016B1E" w:rsidRPr="000A03F1">
        <w:rPr>
          <w:rFonts w:ascii="Times New Roman" w:hAnsi="Times New Roman" w:cs="Times New Roman"/>
          <w:sz w:val="24"/>
          <w:szCs w:val="24"/>
        </w:rPr>
        <w:t>-75</w:t>
      </w:r>
      <w:r w:rsidR="00B20155" w:rsidRPr="000A03F1">
        <w:rPr>
          <w:rFonts w:ascii="Times New Roman" w:hAnsi="Times New Roman" w:cs="Times New Roman"/>
          <w:sz w:val="24"/>
          <w:szCs w:val="24"/>
        </w:rPr>
        <w:t xml:space="preserve">+ </w:t>
      </w:r>
      <w:r w:rsidRPr="000A03F1">
        <w:rPr>
          <w:rFonts w:ascii="Times New Roman" w:hAnsi="Times New Roman" w:cs="Times New Roman"/>
          <w:sz w:val="24"/>
          <w:szCs w:val="24"/>
        </w:rPr>
        <w:t>years old</w:t>
      </w:r>
      <w:r w:rsidR="00BF74A9" w:rsidRPr="000A03F1">
        <w:rPr>
          <w:rFonts w:ascii="Times New Roman" w:hAnsi="Times New Roman" w:cs="Times New Roman"/>
          <w:sz w:val="24"/>
          <w:szCs w:val="24"/>
        </w:rPr>
        <w:t xml:space="preserve"> and consider the</w:t>
      </w:r>
      <w:r w:rsidRPr="000A03F1">
        <w:rPr>
          <w:rFonts w:ascii="Times New Roman" w:hAnsi="Times New Roman" w:cs="Times New Roman"/>
          <w:sz w:val="24"/>
          <w:szCs w:val="24"/>
        </w:rPr>
        <w:t xml:space="preserve"> </w:t>
      </w:r>
      <w:r w:rsidR="00A62119" w:rsidRPr="000A03F1">
        <w:rPr>
          <w:rFonts w:ascii="Times New Roman" w:hAnsi="Times New Roman" w:cs="Times New Roman"/>
          <w:sz w:val="24"/>
          <w:szCs w:val="24"/>
        </w:rPr>
        <w:t>seroprevalence</w:t>
      </w:r>
      <w:r w:rsidRPr="000A03F1">
        <w:rPr>
          <w:rFonts w:ascii="Times New Roman" w:hAnsi="Times New Roman" w:cs="Times New Roman"/>
          <w:sz w:val="24"/>
          <w:szCs w:val="24"/>
        </w:rPr>
        <w:t xml:space="preserve"> rate among those under 15 years of age </w:t>
      </w:r>
      <w:r w:rsidR="00F5089B" w:rsidRPr="000A03F1">
        <w:rPr>
          <w:rFonts w:ascii="Times New Roman" w:hAnsi="Times New Roman" w:cs="Times New Roman"/>
          <w:sz w:val="24"/>
          <w:szCs w:val="24"/>
        </w:rPr>
        <w:t>to be</w:t>
      </w:r>
      <w:r w:rsidRPr="000A03F1">
        <w:rPr>
          <w:rFonts w:ascii="Times New Roman" w:hAnsi="Times New Roman" w:cs="Times New Roman"/>
          <w:sz w:val="24"/>
          <w:szCs w:val="24"/>
        </w:rPr>
        <w:t xml:space="preserve"> </w:t>
      </w:r>
      <w:r w:rsidR="00442BA9" w:rsidRPr="000A03F1">
        <w:rPr>
          <w:rFonts w:ascii="Times New Roman" w:hAnsi="Times New Roman" w:cs="Times New Roman"/>
          <w:sz w:val="24"/>
          <w:szCs w:val="24"/>
        </w:rPr>
        <w:t xml:space="preserve">at </w:t>
      </w:r>
      <w:r w:rsidRPr="000A03F1">
        <w:rPr>
          <w:rFonts w:ascii="Times New Roman" w:hAnsi="Times New Roman" w:cs="Times New Roman"/>
          <w:sz w:val="24"/>
          <w:szCs w:val="24"/>
        </w:rPr>
        <w:t>70%</w:t>
      </w:r>
      <w:r w:rsidR="00F5089B" w:rsidRPr="000A03F1">
        <w:rPr>
          <w:rFonts w:ascii="Times New Roman" w:hAnsi="Times New Roman" w:cs="Times New Roman"/>
          <w:sz w:val="24"/>
          <w:szCs w:val="24"/>
        </w:rPr>
        <w:t xml:space="preserve">. </w:t>
      </w:r>
      <w:r w:rsidRPr="000A03F1">
        <w:rPr>
          <w:rFonts w:ascii="Times New Roman" w:hAnsi="Times New Roman" w:cs="Times New Roman"/>
          <w:sz w:val="24"/>
          <w:szCs w:val="24"/>
        </w:rPr>
        <w:t xml:space="preserve">In both sub-populations, the average intra-annual seasonality suggested that an upsurge in dengue cases was likely to occur between March and May, while the inter-annual peak </w:t>
      </w:r>
      <w:r w:rsidR="00BD168F" w:rsidRPr="000A03F1">
        <w:rPr>
          <w:rFonts w:ascii="Times New Roman" w:hAnsi="Times New Roman" w:cs="Times New Roman"/>
          <w:sz w:val="24"/>
          <w:szCs w:val="24"/>
        </w:rPr>
        <w:t>occurred</w:t>
      </w:r>
      <w:r w:rsidRPr="000A03F1">
        <w:rPr>
          <w:rFonts w:ascii="Times New Roman" w:hAnsi="Times New Roman" w:cs="Times New Roman"/>
          <w:sz w:val="24"/>
          <w:szCs w:val="24"/>
        </w:rPr>
        <w:t xml:space="preserve"> biennially. Scenario analysis </w:t>
      </w:r>
      <w:r w:rsidR="00BD168F" w:rsidRPr="000A03F1">
        <w:rPr>
          <w:rFonts w:ascii="Times New Roman" w:hAnsi="Times New Roman" w:cs="Times New Roman"/>
          <w:sz w:val="24"/>
          <w:szCs w:val="24"/>
        </w:rPr>
        <w:t>demonstrated</w:t>
      </w:r>
      <w:r w:rsidRPr="000A03F1">
        <w:rPr>
          <w:rFonts w:ascii="Times New Roman" w:hAnsi="Times New Roman" w:cs="Times New Roman"/>
          <w:sz w:val="24"/>
          <w:szCs w:val="24"/>
        </w:rPr>
        <w:t xml:space="preserve"> that a better outcome could be achieved through the implementation of screening. However, it is important to note that the overall effectiveness may be influenced by the concurrent circulating serotypes during vaccination campaign.</w:t>
      </w:r>
    </w:p>
    <w:p w14:paraId="50720523" w14:textId="009B4B45" w:rsidR="00F74B45" w:rsidRPr="000A03F1" w:rsidRDefault="004F5149" w:rsidP="004F5149">
      <w:pPr>
        <w:pStyle w:val="Heading2"/>
        <w:rPr>
          <w:rFonts w:ascii="Times New Roman" w:hAnsi="Times New Roman" w:cs="Times New Roman"/>
        </w:rPr>
      </w:pPr>
      <w:r w:rsidRPr="000A03F1">
        <w:rPr>
          <w:rFonts w:ascii="Times New Roman" w:hAnsi="Times New Roman" w:cs="Times New Roman"/>
        </w:rPr>
        <w:lastRenderedPageBreak/>
        <w:t xml:space="preserve">4.2. </w:t>
      </w:r>
      <w:r w:rsidR="00F74B45" w:rsidRPr="000A03F1">
        <w:rPr>
          <w:rFonts w:ascii="Times New Roman" w:hAnsi="Times New Roman" w:cs="Times New Roman"/>
        </w:rPr>
        <w:t>Interpretation of results</w:t>
      </w:r>
      <w:r w:rsidR="00C57D47" w:rsidRPr="000A03F1">
        <w:rPr>
          <w:rFonts w:ascii="Times New Roman" w:hAnsi="Times New Roman" w:cs="Times New Roman"/>
        </w:rPr>
        <w:t xml:space="preserve"> and implication to policy</w:t>
      </w:r>
    </w:p>
    <w:p w14:paraId="3D4F7D85" w14:textId="5DD8432E" w:rsidR="00283A49" w:rsidRPr="000A03F1" w:rsidRDefault="00283A49" w:rsidP="0026497C">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We did not attempt to conclude the optimal scenarios to yield the maximum impact, rather, we demonstrated that not implementing pre-vaccination screening prior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vaccination in Jakarta might negatively affect the </w:t>
      </w:r>
      <w:r w:rsidR="00707609" w:rsidRPr="000A03F1">
        <w:rPr>
          <w:rFonts w:ascii="Times New Roman" w:hAnsi="Times New Roman" w:cs="Times New Roman"/>
          <w:sz w:val="24"/>
          <w:szCs w:val="24"/>
        </w:rPr>
        <w:t xml:space="preserve">impact </w:t>
      </w:r>
      <w:r w:rsidRPr="000A03F1">
        <w:rPr>
          <w:rFonts w:ascii="Times New Roman" w:hAnsi="Times New Roman" w:cs="Times New Roman"/>
          <w:sz w:val="24"/>
          <w:szCs w:val="24"/>
        </w:rPr>
        <w:t xml:space="preserve">of the vaccination </w:t>
      </w:r>
      <w:r w:rsidR="000E3DEB" w:rsidRPr="000A03F1">
        <w:rPr>
          <w:rFonts w:ascii="Times New Roman" w:hAnsi="Times New Roman" w:cs="Times New Roman"/>
          <w:sz w:val="24"/>
          <w:szCs w:val="24"/>
        </w:rPr>
        <w:t>programme</w:t>
      </w:r>
      <w:r w:rsidRPr="000A03F1">
        <w:rPr>
          <w:rFonts w:ascii="Times New Roman" w:hAnsi="Times New Roman" w:cs="Times New Roman"/>
          <w:sz w:val="24"/>
          <w:szCs w:val="24"/>
        </w:rPr>
        <w:t xml:space="preserve">. </w:t>
      </w:r>
      <w:r w:rsidR="003C6733" w:rsidRPr="000A03F1">
        <w:rPr>
          <w:rFonts w:ascii="Times New Roman" w:hAnsi="Times New Roman" w:cs="Times New Roman"/>
          <w:sz w:val="24"/>
          <w:szCs w:val="24"/>
        </w:rPr>
        <w:t xml:space="preserve">Additionally, the vaccines allocated only to age group 0-14 can reduce the overall transmission by reducing a number of infected people at a time, thereby, the overall transmission risk would eventually be reduced. </w:t>
      </w:r>
      <w:r w:rsidRPr="000A03F1">
        <w:rPr>
          <w:rFonts w:ascii="Times New Roman" w:hAnsi="Times New Roman" w:cs="Times New Roman"/>
          <w:sz w:val="24"/>
          <w:szCs w:val="24"/>
        </w:rPr>
        <w:t xml:space="preserve">The model was calibrated according to the high dengue transmission in Jakarta that was characterised by the average seroprevalence levels in age group 0 to 14 at 70%, which was constructed with the seroprevalence finding on other studies </w:t>
      </w: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{"citationID":"am3k0dl3uh","properties":{"formattedCitation":"(31,41)","plainCitation":"(31,41)","noteIndex":0},"citationItems":[{"id":55,"uris":["http://zotero.org/users/10607232/items/CEZDQYKF"],"itemData":{"id":55,"type":"article-journal","container-title":"PLOS Neglected Tropical Diseases","DOI":"10.1371/journal.pntd.0008102","ISSN":"1935-2735","issue":"3","journalAbbreviation":"PLoS Negl Trop Dis","language":"en","page":"e0008102","source":"DOI.org (Crossref)","title":"Spatiotemporal variability in dengue transmission intensity in Jakarta, Indonesia","volume":"14","author":[{"family":"O’Driscoll","given":"Megan"},{"family":"Imai","given":"Natsuko"},{"family":"Ferguson","given":"Neil M."},{"family":"Hadinegoro","given":"Sri Rezeki"},{"family":"Satari","given":"Hindra Irawan"},{"family":"Tam","given":"Clarence C."},{"family":"Dorigatti","given":"Ilaria"}],"editor":[{"family":"Azman","given":"Andrew S."}],"issued":{"date-parts":[["2020",3,6]]}}},{"id":591,"uris":["http://zotero.org/users/10607232/items/MP85CMHT"],"itemData":{"id":591,"type":"article-journal","container-title":"PLOS Neglected Tropical Diseases","DOI":"10.1371/journal.pntd.0006932","ISSN":"1935-2735","issue":"11","journalAbbreviation":"PLoS Negl Trop Dis","language":"en","page":"e0006932","source":"DOI.org (Crossref)","title":"Geographic variation in dengue seroprevalence and force of infection in the urban paediatric population of Indonesia","volume":"12","author":[{"family":"Tam","given":"Clarence C."},{"family":"O’Driscoll","given":"Megan"},{"family":"Taurel","given":"Anne-Frieda"},{"family":"Nealon","given":"Joshua"},{"family":"Hadinegoro","given":"Sri Rezeki"}],"editor":[{"family":"Horstick","given":"Olaf"}],"issued":{"date-parts":[["2018",11,2]]}}}],"schema":"https://github.com/citation-style-language/schema/raw/master/csl-citation.json"}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(31,41)</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It should be noted that dengue transmission was geographically varied</w:t>
      </w:r>
      <w:r w:rsidR="00BF45BA" w:rsidRPr="000A03F1">
        <w:rPr>
          <w:rFonts w:ascii="Times New Roman" w:hAnsi="Times New Roman" w:cs="Times New Roman"/>
          <w:sz w:val="24"/>
          <w:szCs w:val="24"/>
        </w:rPr>
        <w:t xml:space="preserve"> </w:t>
      </w:r>
      <w:r w:rsidR="00641E2C"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{"citationID":"a21uv9vgnat","properties":{"formattedCitation":"(42)","plainCitation":"(42)","noteIndex":0},"citationItems":[{"id":602,"uris":["http://zotero.org/users/10607232/items/W4EYIMI8"],"itemData":{"id":602,"type":"article-journal","abstract":"Objectives: The objective of this study was to map the global risk of the major arboviral diseases transmitted by Aedes aegypti and Aedes albopictus by identifying areas where the diseases are reported, either through active transmission or travel-related outbreaks, as well as areas where the diseases are not currently reported but are nonetheless suitable for the vector.\nMethods: Data relating to ﬁve arboviral diseases (Zika, dengue fever, chikungunya, yellow fever, and Rift Valley fever (RVF)) were extracted from some of the largest contemporary databases and paired with data on the known distribution of their vectors, A. aegypti and A. albopictus. The disease occurrence data for the selected diseases were compiled from literature dating as far back as 1952 to as recent as 2017. The resulting datasets were aggregated at the country level, except in the case of the USA, where state-level data were used. Spatial analysis was used to process the data and to develop risk maps.\nResults: Out of the 250 countries/territories considered, 215 (86%) are potentially suitable for the survival and establishment of A. aegypti and/or A. albopictus. A. albopictus has suitability foci in 197 countries/ territories, while there are 188 that are suitable for A. aegypti. There is considerable variation in the suitability range among countries/territories, but many of the tropical regions of the world provide high suitability over extensive areas. Globally, 146 (58.4%) countries/territories reported at least one arboviral disease, while 123 (49.2%) reported more than one of the above diseases. The overall numbers of countries/territories reporting autochthonous vector-borne occurrences of Zika, dengue, chikungunya, yellow fever, and RVF, were 85, 111, 106, 43, and 39, respectively.\nConclusions: With 215 countries/territories potentially suitable for the most important arboviral disease vectors and more than half of these reporting cases, arboviral diseases are indeed a global public health threat. The increasing proportion of reports that include multiple arboviral diseases highlights the expanding range of their common transmission vectors. The shared features of these arboviral diseases should motivate efforts to combine interventions against these diseases.","container-title":"International Journal of Infectious Diseases","DOI":"10.1016/j.ijid.2017.11.026","ISSN":"12019712","journalAbbreviation":"International Journal of Infectious Diseases","language":"en","page":"25-35","source":"DOI.org (Crossref)","title":"Global risk mapping for major diseases transmitted by Aedes aegypti and Aedes albopictus","volume":"67","author":[{"family":"Leta","given":"Samson"},{"family":"Beyene","given":"Tariku Jibat"},{"family":"De Clercq","given":"Eva M."},{"family":"Amenu","given":"Kebede"},{"family":"Kraemer","given":"Moritz U.G."},{"family":"Revie","given":"Crawford W."}],"issued":{"date-parts":[["2018",2]]}}}],"schema":"https://github.com/citation-style-language/schema/raw/master/csl-citation.json"} </w:instrText>
      </w:r>
      <w:r w:rsidR="00641E2C"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(42)</w:t>
      </w:r>
      <w:r w:rsidR="00641E2C"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therefore, we should take into account that dengue vaccination may be undesirable in some particular settings, e.g., in area with low-transmission of dengue </w:t>
      </w:r>
      <w:r w:rsidRPr="000A03F1">
        <w:rPr>
          <w:rFonts w:ascii="Times New Roman" w:hAnsi="Times New Roman" w:cs="Times New Roman"/>
          <w:sz w:val="24"/>
          <w:szCs w:val="24"/>
        </w:rPr>
        <w:fldChar w:fldCharType="begin"/>
      </w:r>
      <w:r w:rsidRPr="000A03F1">
        <w:rPr>
          <w:rFonts w:ascii="Times New Roman" w:hAnsi="Times New Roman" w:cs="Times New Roman"/>
          <w:sz w:val="24"/>
          <w:szCs w:val="24"/>
        </w:rPr>
        <w:instrText xml:space="preserve"> ADDIN ZOTERO_ITEM CSL_CITATION {"citationID":"a24og6h5brd","properties":{"formattedCitation":"(29)","plainCitation":"(29)","noteIndex":0},"citationItems":[{"id":48,"uris":["http://zotero.org/users/10607232/items/ESS6Y9S5"],"itemData":{"id":48,"type":"article-journal","container-title":"PLOS Medicine","DOI":"10.1371/journal.pmed.1002181","ISSN":"1549-1676","issue":"11","journalAbbreviation":"PLoS Med","language":"en","page":"e1002181","source":"DOI.org (Crossref)","title":"The Long-Term Safety, Public Health Impact, and Cost-Effectiveness of Routine Vaccination with a Recombinant, Live-Attenuated Dengue Vaccine (Dengvaxia): A Model Comparison Study","title-short":"The Long-Term Safety, Public Health Impact, and Cost-Effectiveness of Routine Vaccination with a Recombinant, Live-Attenuated Dengue Vaccine (Dengvaxia)","volume":"13","author":[{"family":"Flasche","given":"Stefan"},{"family":"Jit","given":"Mark"},{"family":"Rodríguez-Barraquer","given":"Isabel"},{"family":"Coudeville","given":"Laurent"},{"family":"Recker","given":"Mario"},{"family":"Koelle","given":"Katia"},{"family":"Milne","given":"George"},{"family":"Hladish","given":"Thomas J."},{"family":"Perkins","given":"T. Alex"},{"family":"Cummings","given":"Derek A. T."},{"family":"Dorigatti","given":"Ilaria"},{"family":"Laydon","given":"Daniel J."},{"family":"España","given":"Guido"},{"family":"Kelso","given":"Joel"},{"family":"Longini","given":"Ira"},{"family":"Lourenco","given":"Jose"},{"family":"Pearson","given":"Carl A. B."},{"family":"Reiner","given":"Robert C."},{"family":"Mier-y-Terán-Romero","given":"Luis"},{"family":"Vannice","given":"Kirsten"},{"family":"Ferguson","given":"Neil"}],"editor":[{"family":"Seidlein","given":"Lorenz","non-dropping-particle":"von"}],"issued":{"date-parts":[["2016",11,29]]}}}],"schema":"https://github.com/citation-style-language/schema/raw/master/csl-citation.json"} </w:instrText>
      </w:r>
      <w:r w:rsidRPr="000A03F1">
        <w:rPr>
          <w:rFonts w:ascii="Times New Roman" w:hAnsi="Times New Roman" w:cs="Times New Roman"/>
          <w:sz w:val="24"/>
          <w:szCs w:val="24"/>
        </w:rPr>
        <w:fldChar w:fldCharType="separate"/>
      </w:r>
      <w:r w:rsidRPr="000A03F1">
        <w:rPr>
          <w:rFonts w:ascii="Times New Roman" w:hAnsi="Times New Roman" w:cs="Times New Roman"/>
          <w:sz w:val="24"/>
          <w:szCs w:val="24"/>
        </w:rPr>
        <w:t>(29)</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w:t>
      </w:r>
    </w:p>
    <w:p w14:paraId="284D19A8" w14:textId="03E34514" w:rsidR="00283A49" w:rsidRPr="000A03F1" w:rsidRDefault="00283A49" w:rsidP="00283A49">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To ensure fair </w:t>
      </w:r>
      <w:r w:rsidR="00243E2B" w:rsidRPr="000A03F1">
        <w:rPr>
          <w:rFonts w:ascii="Times New Roman" w:hAnsi="Times New Roman" w:cs="Times New Roman"/>
          <w:sz w:val="24"/>
          <w:szCs w:val="24"/>
        </w:rPr>
        <w:t xml:space="preserve">comparison across </w:t>
      </w:r>
      <w:r w:rsidRPr="000A03F1">
        <w:rPr>
          <w:rFonts w:ascii="Times New Roman" w:hAnsi="Times New Roman" w:cs="Times New Roman"/>
          <w:sz w:val="24"/>
          <w:szCs w:val="24"/>
        </w:rPr>
        <w:t>vaccination scenario</w:t>
      </w:r>
      <w:r w:rsidR="00243E2B" w:rsidRPr="000A03F1">
        <w:rPr>
          <w:rFonts w:ascii="Times New Roman" w:hAnsi="Times New Roman" w:cs="Times New Roman"/>
          <w:sz w:val="24"/>
          <w:szCs w:val="24"/>
        </w:rPr>
        <w:t>s</w:t>
      </w:r>
      <w:r w:rsidRPr="000A03F1">
        <w:rPr>
          <w:rFonts w:ascii="Times New Roman" w:hAnsi="Times New Roman" w:cs="Times New Roman"/>
          <w:sz w:val="24"/>
          <w:szCs w:val="24"/>
        </w:rPr>
        <w:t xml:space="preserve">, a </w:t>
      </w:r>
      <w:r w:rsidR="000804C3" w:rsidRPr="000A03F1">
        <w:rPr>
          <w:rFonts w:ascii="Times New Roman" w:hAnsi="Times New Roman" w:cs="Times New Roman"/>
          <w:sz w:val="24"/>
          <w:szCs w:val="24"/>
        </w:rPr>
        <w:t>fixed</w:t>
      </w:r>
      <w:r w:rsidRPr="000A03F1">
        <w:rPr>
          <w:rFonts w:ascii="Times New Roman" w:hAnsi="Times New Roman" w:cs="Times New Roman"/>
          <w:sz w:val="24"/>
          <w:szCs w:val="24"/>
        </w:rPr>
        <w:t xml:space="preserve"> vaccin</w:t>
      </w:r>
      <w:r w:rsidR="00D910E8" w:rsidRPr="000A03F1">
        <w:rPr>
          <w:rFonts w:ascii="Times New Roman" w:hAnsi="Times New Roman" w:cs="Times New Roman"/>
          <w:sz w:val="24"/>
          <w:szCs w:val="24"/>
        </w:rPr>
        <w:t>ation</w:t>
      </w:r>
      <w:r w:rsidRPr="000A03F1">
        <w:rPr>
          <w:rFonts w:ascii="Times New Roman" w:hAnsi="Times New Roman" w:cs="Times New Roman"/>
          <w:sz w:val="24"/>
          <w:szCs w:val="24"/>
        </w:rPr>
        <w:t xml:space="preserve"> </w:t>
      </w:r>
      <w:r w:rsidR="00707609" w:rsidRPr="000A03F1">
        <w:rPr>
          <w:rFonts w:ascii="Times New Roman" w:hAnsi="Times New Roman" w:cs="Times New Roman"/>
          <w:sz w:val="24"/>
          <w:szCs w:val="24"/>
        </w:rPr>
        <w:t xml:space="preserve">coverage </w:t>
      </w:r>
      <w:r w:rsidRPr="000A03F1">
        <w:rPr>
          <w:rFonts w:ascii="Times New Roman" w:hAnsi="Times New Roman" w:cs="Times New Roman"/>
          <w:sz w:val="24"/>
          <w:szCs w:val="24"/>
        </w:rPr>
        <w:t xml:space="preserve">was </w:t>
      </w:r>
      <w:r w:rsidR="005A2CC7" w:rsidRPr="000A03F1">
        <w:rPr>
          <w:rFonts w:ascii="Times New Roman" w:hAnsi="Times New Roman" w:cs="Times New Roman"/>
          <w:sz w:val="24"/>
          <w:szCs w:val="24"/>
        </w:rPr>
        <w:t>applied</w:t>
      </w:r>
      <w:r w:rsidRPr="000A03F1">
        <w:rPr>
          <w:rFonts w:ascii="Times New Roman" w:hAnsi="Times New Roman" w:cs="Times New Roman"/>
          <w:sz w:val="24"/>
          <w:szCs w:val="24"/>
        </w:rPr>
        <w:t xml:space="preserve"> across all scenarios. This approach was adopted to prevent obscuring whether outcome differences were due to vaccine quantity or allocation methods. The main objective of pre-vaccination screening was to optimise vaccine distribution for seropositive individuals. Consequently, in the screening scenario, the majority of vaccines were allocated to individuals with a history of previous dengue infection. This contrasts with scenarios without screening, where vaccines were proportionally distributed among seronegative and seropositive individuals. </w:t>
      </w:r>
    </w:p>
    <w:p w14:paraId="75106D4B" w14:textId="1DB10EDD" w:rsidR="00D93B23" w:rsidRPr="000A03F1" w:rsidRDefault="00D93B23" w:rsidP="00D93B23">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Based on strategic approach of maximising vaccine allocation to seropositive individuals while minimising vaccination in seronegative individuals appears promising to achieve the maximum desired outcomes</w:t>
      </w:r>
      <w:r w:rsidR="00314ECC" w:rsidRPr="000A03F1">
        <w:rPr>
          <w:rFonts w:ascii="Times New Roman" w:hAnsi="Times New Roman" w:cs="Times New Roman"/>
          <w:sz w:val="24"/>
          <w:szCs w:val="24"/>
        </w:rPr>
        <w:t xml:space="preserve">, especially in the context to achieve efficiency </w:t>
      </w:r>
      <w:r w:rsidR="00A34E20" w:rsidRPr="000A03F1">
        <w:rPr>
          <w:rFonts w:ascii="Times New Roman" w:hAnsi="Times New Roman" w:cs="Times New Roman"/>
          <w:sz w:val="24"/>
          <w:szCs w:val="24"/>
        </w:rPr>
        <w:t>in</w:t>
      </w:r>
      <w:r w:rsidR="00314ECC" w:rsidRPr="000A03F1">
        <w:rPr>
          <w:rFonts w:ascii="Times New Roman" w:hAnsi="Times New Roman" w:cs="Times New Roman"/>
          <w:sz w:val="24"/>
          <w:szCs w:val="24"/>
        </w:rPr>
        <w:t xml:space="preserve"> resource allocation</w:t>
      </w:r>
      <w:r w:rsidRPr="000A03F1">
        <w:rPr>
          <w:rFonts w:ascii="Times New Roman" w:hAnsi="Times New Roman" w:cs="Times New Roman"/>
          <w:sz w:val="24"/>
          <w:szCs w:val="24"/>
        </w:rPr>
        <w:t xml:space="preserve">. In the context of dengue vaccines, beyond demonstrating a favourable efficacy profile, pre-vaccination screening may increase the potential to improves vaccination effectiveness in the population </w:t>
      </w: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{"citationID":"Q80iCKtZ","properties":{"formattedCitation":"(43)","plainCitation":"(43)","noteIndex":0},"citationItems":[{"id":563,"uris":["http://zotero.org/users/10607232/items/L93QL6UT"],"itemData":{"id":563,"type":"article-journal","container-title":"The Lancet Infectious Diseases","DOI":"10.1016/S1473-3099(20)30722-2","ISSN":"14733099","issue":"4","journalAbbreviation":"The Lancet Infectious Diseases","language":"en","page":"442-444","source":"DOI.org (Crossref)","title":"Optimising dengue pre-vaccination screening","volume":"21","author":[{"family":"Wilder-Smith","given":"Annelies"},{"family":"Peeling","given":"Rosanna W"}],"issued":{"date-parts":[["2021",4]]}}}],"schema":"https://github.com/citation-style-language/schema/raw/master/csl-citation.json"}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(43)</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w:t>
      </w:r>
      <w:r w:rsidR="00D15B90" w:rsidRPr="000A03F1">
        <w:rPr>
          <w:rFonts w:ascii="Times New Roman" w:hAnsi="Times New Roman" w:cs="Times New Roman"/>
          <w:sz w:val="24"/>
          <w:szCs w:val="24"/>
        </w:rPr>
        <w:t xml:space="preserve">This improvement primarily arises from two key factors. Firstly, pre-vaccination </w:t>
      </w:r>
      <w:r w:rsidR="00D15B90" w:rsidRPr="000A03F1">
        <w:rPr>
          <w:rFonts w:ascii="Times New Roman" w:hAnsi="Times New Roman" w:cs="Times New Roman"/>
          <w:sz w:val="24"/>
          <w:szCs w:val="24"/>
        </w:rPr>
        <w:lastRenderedPageBreak/>
        <w:t>screening can help minimise the probability of acquiring DHF due to ADE, particularly when vaccine administration might be associated with an increased risk of ADE among seronegative individuals. Secondly, even in situations where the vaccine does not pose an elevated ADE risk, pre-vaccination screening can optimise vaccine effectiveness by directing vaccination preferentially to seropositive individuals, as inherent vaccine efficacy profiles indicate a higher level of efficacy in this subgroup compared to seronegative individuals</w:t>
      </w:r>
      <w:r w:rsidRPr="000A03F1">
        <w:rPr>
          <w:rFonts w:ascii="Times New Roman" w:hAnsi="Times New Roman" w:cs="Times New Roman"/>
          <w:sz w:val="24"/>
          <w:szCs w:val="24"/>
        </w:rPr>
        <w:t xml:space="preserve"> </w:t>
      </w: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{"citationID":"a9bpNBKu","properties":{"formattedCitation":"(26,44)","plainCitation":"(26,44)","noteIndex":0},"citationItems":[{"id":556,"uris":["http://zotero.org/users/10607232/items/RAJUJFLG"],"itemData":{"id":556,"type":"article-journal","abstract":"Background: 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id":565,"uris":["http://zotero.org/users/10607232/items/IF9SV5SF"],"itemData":{"id":565,"type":"article-journal","abstract":"Abstract\n            CYD-TDV is the first licensed dengue vaccine for individuals 9–45 (or 60) years of age. Using 12% of the subjects enroled in phase-2b and phase-3 trials for which baseline serostatus was measured, the vaccine-induced protection against virologically confirmed dengue during active surveillance (0–25 months) was found to vary with prior exposure to dengue. Because age and dengue exposure are highly correlated in endemic settings, refined insight into how efficacy varies by serostatus and age is essential to understand the increased risk of hospitalisation observed among vaccinated individuals during the long-term follow-up and to develop safe and effective vaccination strategies. Here we apply machine learning to impute the baseline serostatus for subjects with post-dose 3 titres but missing baseline serostatus. We find evidence for age dependence in efficacy independent of serostatus and estimate that among 9–16 year olds, CYD-TDV is protective against serotypes 1, 3 and 4 regardless of baseline serostatus.","container-title":"Nature Communications","DOI":"10.1038/s41467-018-06006-6","ISSN":"2041-1723","issue":"1","journalAbbreviation":"Nat Commun","language":"en","page":"3644","source":"DOI.org (Crossref)","title":"Refined efficacy estimates of the Sanofi Pasteur dengue vaccine CYD-TDV using machine learning","volume":"9","author":[{"family":"Dorigatti","given":"I."},{"family":"Donnelly","given":"C. A."},{"family":"Laydon","given":"D. J."},{"family":"Small","given":"R."},{"family":"Jackson","given":"N."},{"family":"Coudeville","given":"L."},{"family":"Ferguson","given":"N. M."}],"issued":{"date-parts":[["2018",9,7]]}}}],"schema":"https://github.com/citation-style-language/schema/raw/master/csl-citation.json"}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(26,44)</w:t>
      </w:r>
      <w:r w:rsidRPr="000A03F1">
        <w:rPr>
          <w:rFonts w:ascii="Times New Roman" w:hAnsi="Times New Roman" w:cs="Times New Roman"/>
          <w:sz w:val="24"/>
          <w:szCs w:val="24"/>
        </w:rPr>
        <w:fldChar w:fldCharType="end"/>
      </w:r>
      <w:r w:rsidRPr="000A03F1">
        <w:rPr>
          <w:rFonts w:ascii="Times New Roman" w:hAnsi="Times New Roman" w:cs="Times New Roman"/>
          <w:sz w:val="24"/>
          <w:szCs w:val="24"/>
        </w:rPr>
        <w:t>.</w:t>
      </w:r>
    </w:p>
    <w:p w14:paraId="5A1F57D7" w14:textId="55655539" w:rsidR="00C57D47" w:rsidRPr="000A03F1" w:rsidRDefault="00C57D47" w:rsidP="00C57D47">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However, the optimisation process </w:t>
      </w:r>
      <w:r w:rsidR="00A450A7" w:rsidRPr="000A03F1">
        <w:rPr>
          <w:rFonts w:ascii="Times New Roman" w:hAnsi="Times New Roman" w:cs="Times New Roman"/>
          <w:sz w:val="24"/>
          <w:szCs w:val="24"/>
        </w:rPr>
        <w:t>should</w:t>
      </w:r>
      <w:r w:rsidRPr="000A03F1">
        <w:rPr>
          <w:rFonts w:ascii="Times New Roman" w:hAnsi="Times New Roman" w:cs="Times New Roman"/>
          <w:sz w:val="24"/>
          <w:szCs w:val="24"/>
        </w:rPr>
        <w:t xml:space="preserve"> consider the economic aspects and resource constraints. Therefore, a comprehensive economic evaluation becomes indispensable to assess the feasibility and cost-effectiveness of this approach, allowing for informed decision-making in vaccine distribution and administration.</w:t>
      </w:r>
      <w:r w:rsidR="00283A49" w:rsidRPr="000A03F1">
        <w:rPr>
          <w:rFonts w:ascii="Times New Roman" w:hAnsi="Times New Roman" w:cs="Times New Roman"/>
          <w:sz w:val="24"/>
          <w:szCs w:val="24"/>
        </w:rPr>
        <w:t xml:space="preserve"> Recent </w:t>
      </w:r>
      <w:r w:rsidR="004E3116" w:rsidRPr="000A03F1">
        <w:rPr>
          <w:rFonts w:ascii="Times New Roman" w:hAnsi="Times New Roman" w:cs="Times New Roman"/>
          <w:sz w:val="24"/>
          <w:szCs w:val="24"/>
        </w:rPr>
        <w:t xml:space="preserve">study in Indonesia showed that pre-vaccination screening </w:t>
      </w:r>
      <w:r w:rsidR="00FB4115" w:rsidRPr="000A03F1">
        <w:rPr>
          <w:rFonts w:ascii="Times New Roman" w:hAnsi="Times New Roman" w:cs="Times New Roman"/>
          <w:sz w:val="24"/>
          <w:szCs w:val="24"/>
        </w:rPr>
        <w:t>would be</w:t>
      </w:r>
      <w:r w:rsidR="004E3116" w:rsidRPr="000A03F1">
        <w:rPr>
          <w:rFonts w:ascii="Times New Roman" w:hAnsi="Times New Roman" w:cs="Times New Roman"/>
          <w:sz w:val="24"/>
          <w:szCs w:val="24"/>
        </w:rPr>
        <w:t xml:space="preserve"> actually cost-effective</w:t>
      </w:r>
      <w:r w:rsidR="00B847DA" w:rsidRPr="000A03F1">
        <w:rPr>
          <w:rFonts w:ascii="Times New Roman" w:hAnsi="Times New Roman" w:cs="Times New Roman"/>
          <w:sz w:val="24"/>
          <w:szCs w:val="24"/>
        </w:rPr>
        <w:t xml:space="preserve"> </w:t>
      </w:r>
      <w:r w:rsidR="00AE0825" w:rsidRPr="000A03F1">
        <w:rPr>
          <w:rFonts w:ascii="Times New Roman" w:hAnsi="Times New Roman" w:cs="Times New Roman"/>
          <w:sz w:val="24"/>
          <w:szCs w:val="24"/>
        </w:rPr>
        <w:t>but</w:t>
      </w:r>
      <w:r w:rsidR="004E3116" w:rsidRPr="000A03F1">
        <w:rPr>
          <w:rFonts w:ascii="Times New Roman" w:hAnsi="Times New Roman" w:cs="Times New Roman"/>
          <w:sz w:val="24"/>
          <w:szCs w:val="24"/>
        </w:rPr>
        <w:t xml:space="preserve"> unaffordable to be implemented as it may require a huge cost for such a </w:t>
      </w:r>
      <w:r w:rsidR="000E3DEB" w:rsidRPr="000A03F1">
        <w:rPr>
          <w:rFonts w:ascii="Times New Roman" w:hAnsi="Times New Roman" w:cs="Times New Roman"/>
          <w:sz w:val="24"/>
          <w:szCs w:val="24"/>
        </w:rPr>
        <w:t>programme</w:t>
      </w:r>
      <w:r w:rsidR="004E3116" w:rsidRPr="000A03F1">
        <w:rPr>
          <w:rFonts w:ascii="Times New Roman" w:hAnsi="Times New Roman" w:cs="Times New Roman"/>
          <w:sz w:val="24"/>
          <w:szCs w:val="24"/>
        </w:rPr>
        <w:t xml:space="preserve"> </w:t>
      </w:r>
      <w:r w:rsidR="004E3116" w:rsidRPr="000A03F1">
        <w:rPr>
          <w:rFonts w:ascii="Times New Roman" w:hAnsi="Times New Roman" w:cs="Times New Roman"/>
          <w:sz w:val="24"/>
          <w:szCs w:val="24"/>
        </w:rPr>
        <w:fldChar w:fldCharType="begin"/>
      </w:r>
      <w:r w:rsidR="009931BC" w:rsidRPr="000A03F1">
        <w:rPr>
          <w:rFonts w:ascii="Times New Roman" w:hAnsi="Times New Roman" w:cs="Times New Roman"/>
          <w:sz w:val="24"/>
          <w:szCs w:val="24"/>
        </w:rPr>
        <w:instrText xml:space="preserve"> ADDIN ZOTERO_ITEM CSL_CITATION {"citationID":"a1q8cvrh55g","properties":{"formattedCitation":"(32)","plainCitation":"(32)","noteIndex":0},"citationItems":[{"id":574,"uris":["http://zotero.org/users/10607232/items/QXAXYXWQ"],"itemData":{"id":574,"type":"article-journal","abstract":"Despite the fact that the incidence and mortality rates due to dengue virus (DENV) infection in Indonesia are relatively high, dengue vaccination has not yet been introduced. This study aimed to analyse the cost-effectiveness and the budget impact of dengue vaccination in Indonesia by taking the potential of pre-vaccination screening into account. An age-structured decision tree model was developed to assess the cost-effectiveness value by applying a single cohort of 4,710,100 children that was followed-up in a 10-year time horizon within a 1-year analytical cycle. The budget impact was analysed in a 5-year period (2020–2024) by considering provinces’ readiness to introduce dengue vaccine and their incidence rate of DENV infection in the last 10 years. Vaccination that was coupled with pre-vaccination screening would reduce dengue fever (DF), dengue haemorrhagic fever (DHF) and dengue shock syndrome (DSS) by 188,142, 148,089 and 426 cases, respectively. It would save treatment cost at $23,433,695 and $14,091,642 from the healthcare and payer perspective, respectively. The incremental cost-effectiveness ratios (ICERs) would be $5,733 and $5,791 per quality-adjusted-life-year (QALY) gained from both perspectives. The most influential parameters affecting the ICERs were probability of DENV infection, vaccine efficacy, under-reporting factor, vaccine price, case fatality rate and screening cost. It can be concluded that dengue vaccination and pre-vaccination screening would be cost-effective to be implemented in Indonesia. Nevertheless, it seems unaffordable to be implemented since the total required cost for the nationwide vaccination would be 94.44% of routine immunization budget.","container-title":"PLOS Neglected Tropical Diseases","DOI":"10.1371/journal.pntd.0009664","ISSN":"1935-2735","issue":"8","journalAbbreviation":"PLoS Negl Trop Dis","language":"en","page":"e0009664","source":"DOI.org (Crossref)","title":"Cost-effectiveness and budget impact analyses of dengue vaccination in Indonesia","volume":"15","author":[{"family":"Suwantika","given":"Auliya Abdurrohim"},{"family":"Supadmi","given":"Woro"},{"family":"Ali","given":"Mohammad"},{"family":"Abdulah","given":"Rizky"}],"editor":[{"family":"Forshey","given":"Brett M."}],"issued":{"date-parts":[["2021",8,12]]}}}],"schema":"https://github.com/citation-style-language/schema/raw/master/csl-citation.json"} </w:instrText>
      </w:r>
      <w:r w:rsidR="004E3116" w:rsidRPr="000A03F1">
        <w:rPr>
          <w:rFonts w:ascii="Times New Roman" w:hAnsi="Times New Roman" w:cs="Times New Roman"/>
          <w:sz w:val="24"/>
          <w:szCs w:val="24"/>
        </w:rPr>
        <w:fldChar w:fldCharType="separate"/>
      </w:r>
      <w:r w:rsidR="009931BC" w:rsidRPr="000A03F1">
        <w:rPr>
          <w:rFonts w:ascii="Times New Roman" w:hAnsi="Times New Roman" w:cs="Times New Roman"/>
          <w:sz w:val="24"/>
          <w:szCs w:val="24"/>
        </w:rPr>
        <w:t>(32)</w:t>
      </w:r>
      <w:r w:rsidR="004E3116" w:rsidRPr="000A03F1">
        <w:rPr>
          <w:rFonts w:ascii="Times New Roman" w:hAnsi="Times New Roman" w:cs="Times New Roman"/>
          <w:sz w:val="24"/>
          <w:szCs w:val="24"/>
        </w:rPr>
        <w:fldChar w:fldCharType="end"/>
      </w:r>
      <w:r w:rsidR="004E3116" w:rsidRPr="000A03F1">
        <w:rPr>
          <w:rFonts w:ascii="Times New Roman" w:hAnsi="Times New Roman" w:cs="Times New Roman"/>
          <w:sz w:val="24"/>
          <w:szCs w:val="24"/>
        </w:rPr>
        <w:t xml:space="preserve">. Some other alternatives include a breakthrough method by utilising </w:t>
      </w:r>
      <w:r w:rsidR="004E3116" w:rsidRPr="000A03F1">
        <w:rPr>
          <w:rFonts w:ascii="Times New Roman" w:hAnsi="Times New Roman" w:cs="Times New Roman"/>
          <w:i/>
          <w:iCs/>
          <w:sz w:val="24"/>
          <w:szCs w:val="24"/>
        </w:rPr>
        <w:t>Wolbachia</w:t>
      </w:r>
      <w:r w:rsidR="004E3116" w:rsidRPr="000A03F1">
        <w:rPr>
          <w:rFonts w:ascii="Times New Roman" w:hAnsi="Times New Roman" w:cs="Times New Roman"/>
          <w:sz w:val="24"/>
          <w:szCs w:val="24"/>
        </w:rPr>
        <w:t xml:space="preserve"> bacteria as a means of controlling dengue transmission </w:t>
      </w:r>
      <w:r w:rsidR="004E3116"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{"citationID":"ag0rt696b3","properties":{"formattedCitation":"(45)","plainCitation":"(45)","noteIndex":0},"citationItems":[{"id":593,"uris":["http://zotero.org/users/10607232/items/5ZGQPAWA"],"itemData":{"id":593,"type":"article-journal","abstract":"BACKGROUND Aedes aegypti mosquitoes infected with the wMel strain of Wolbachia pipientis are less susceptible than wild-type A. aegypti to dengue virus infection.\nMETHODS We conducted a cluster-randomized trial involving releases of wMel-infected A. aegypti mosquitoes for the control of dengue in Yogyakarta, Indonesia. We randomly assigned 12 geographic clusters to receive deployments of wMel-infected A. aegypti (intervention clusters) and 12 clusters to receive no deployments (control clusters). All clusters practiced local mosquito-control measures as usual. A testnegative design was used to assess the efficacy of the intervention. Patients with acute undifferentiated fever who presented to local primary care clinics and were 3 to 45 years of age were recruited. Laboratory testing was used to identify participants who had virologically confirmed dengue (VCD) and those who were testnegative controls. The primary end point was symptomatic VCD of any severity caused by any dengue virus serotype.\nRESULTS After successful introgression of wMel into the intervention clusters, 8144 participants were enrolled; 3721 lived in intervention clusters, and 4423 lived in control clusters. In the intention-to-treat analysis, VCD occurred in 67 of 2905 participants (2.3%) in the intervention clusters and in 318 of 3401 (9.4%) in the control clusters (aggregate odds ratio for VCD, 0.23; 95% confidence interval [CI], 0.15 to 0.35; P = 0.004). The protective efficacy of the intervention was 77.1% (95% CI, 65.3 to 84.9) and was similar against the four dengue virus serotypes. The incidence of hospitalization for VCD was lower among participants who lived in intervention clusters (13 of 2905 participants [0.4%]) than among those who lived in control clusters (102 of 3401 [3.0%]) (protective efficacy, 86.2%; 95% CI, 66.2 to 94.3). The authors’ full names, academic degrees, and affiliations are listed in the Appendix. Address reprint requests to Dr. Simmons at Monash University, 12 Innovation Walk, Clayton, VIC 3800, Australia, or at ­cameron.­simmons@w­ orldmosquito .­org. *A list of investigators in the AWED Study Group is available in the Supplementary Appendix, available at NEJM.org. Drs. Utarini and Indriani and Drs. A­ nders and Simmons contributed equally to this article. This is the New England Journal of Medicine version of record, which includes all Journal editing and enhancements. The Author Final Manuscript, which is the author’s version after external peer review and before publication in the Journal, is available under a CC BY license at PMC8103655. N Engl J Med 2021;384:2177-86. DOI: 10.1056/NEJMoa2030243 Copyright © 2021 Massachusetts Medical Society.\nCONCLUSIONS Introgression of wMel into A. aegypti populations was effective in reducing the incidence of symptomatic dengue and resulted in fewer hospitalizations for dengue among the participants. (Funded by the Tahija Foundation and others; AWED ClinicalTrials.gov number, NCT03055585; Indonesia Registry number, INA-A7OB6TW.)","container-title":"New England Journal of Medicine","DOI":"10.1056/NEJMoa2030243","ISSN":"0028-4793, 1533-4406","issue":"23","journalAbbreviation":"N Engl J Med","language":"en","page":"2177-2186","source":"DOI.org (Crossref)","title":"Efficacy of Wolbachia-Infected Mosquito Deployments for the Control of Dengue","volume":"384","author":[{"family":"Utarini","given":"Adi"},{"family":"Indriani","given":"Citra"},{"family":"Ahmad","given":"Riris A."},{"family":"Tantowijoyo","given":"Warsito"},{"family":"Arguni","given":"Eggi"},{"family":"Ansari","given":"M. Ridwan"},{"family":"Supriyati","given":"Endah"},{"family":"Wardana","given":"D. Satria"},{"family":"Meitika","given":"Yeti"},{"family":"Ernesia","given":"Inggrid"},{"family":"Nurhayati","given":"Indah"},{"family":"Prabowo","given":"Equatori"},{"family":"Andari","given":"Bekti"},{"family":"Green","given":"Benjamin R."},{"family":"Hodgson","given":"Lauren"},{"family":"Cutcher","given":"Zoe"},{"family":"Rancès","given":"Edwige"},{"family":"Ryan","given":"Peter A."},{"family":"O’Neill","given":"Scott L."},{"family":"Dufault","given":"Suzanne M."},{"family":"Tanamas","given":"Stephanie K."},{"family":"Jewell","given":"Nicholas P."},{"family":"Anders","given":"Katherine L."},{"family":"Simmons","given":"Cameron P."}],"issued":{"date-parts":[["2021",6,10]]}}}],"schema":"https://github.com/citation-style-language/schema/raw/master/csl-citation.json"} </w:instrText>
      </w:r>
      <w:r w:rsidR="004E3116"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(45)</w:t>
      </w:r>
      <w:r w:rsidR="004E3116" w:rsidRPr="000A03F1">
        <w:rPr>
          <w:rFonts w:ascii="Times New Roman" w:hAnsi="Times New Roman" w:cs="Times New Roman"/>
          <w:sz w:val="24"/>
          <w:szCs w:val="24"/>
        </w:rPr>
        <w:fldChar w:fldCharType="end"/>
      </w:r>
      <w:r w:rsidR="004E3116" w:rsidRPr="000A03F1">
        <w:rPr>
          <w:rFonts w:ascii="Times New Roman" w:hAnsi="Times New Roman" w:cs="Times New Roman"/>
          <w:sz w:val="24"/>
          <w:szCs w:val="24"/>
        </w:rPr>
        <w:t xml:space="preserve">, which might also be effective in reducing dengue burden and cost-effective </w:t>
      </w:r>
      <w:r w:rsidR="004E3116"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{"citationID":"ae4rq0m8p7","properties":{"formattedCitation":"(4,46)","plainCitation":"(4,46)","noteIndex":0},"citationItems":[{"id":30,"uris":["http://zotero.org/users/10607232/items/GHG7BQ9M"],"itemData":{"id":30,"type":"article-journal","abstract":"Abstract\n            \n              Background\n              \n                Wolbachia\n                -infected mosquitoes reduce dengue virus transmission, and city-wide releases in Yogyakarta city, Indonesia, are showing promising entomological results. Accurate estimates of the burden of dengue, its spatial distribution and the potential impact of\n                Wolbachia\n                are critical in guiding funder and government decisions on its future wider use.\n              \n            \n            \n              Methods\n              \n                Here, we combine multiple modelling methods for burden estimation to predict national case burden disaggregated by severity and map the distribution of burden across the country using three separate data sources. An ensemble of transmission models then predicts the estimated reduction in dengue transmission following a nationwide roll-out of wMel\n                Wolbachia\n                .\n              \n            \n            \n              Results\n              \n                We estimate that 7.8 million (95% uncertainty interval [UI] 1.8–17.7 million) symptomatic dengue cases occurred in Indonesia in 2015 and were associated with 332,865 (UI 94,175–754,203) lost disability-adjusted life years (DALYs). The majority of dengue’s burden was due to non-severe cases that did not seek treatment or were challenging to diagnose in outpatient settings leading to substantial underreporting. Estimated burden was highly concentrated in a small number of large cities with 90% of dengue cases occurring in 15.3% of land area. Implementing a nationwide\n                Wolbachia\n                population replacement programme was estimated to avert 86.2% (UI 36.2–99.9%) of cases over a long-term average.\n              \n            \n            \n              Conclusions\n              \n                These results suggest interventions targeted to the highest burden cities can have a disproportionate impact on dengue burden. Area-wide interventions, such as\n                Wolbachia\n                , that are deployed based on the area covered could protect people more efficiently than individual-based interventions, such as vaccines, in such dense environments.","container-title":"BMC Medicine","DOI":"10.1186/s12916-019-1396-4","ISSN":"1741-7015","issue":"1","journalAbbreviation":"BMC Med","language":"en","page":"172","source":"DOI.org (Crossref)","title":"Estimating the burden of dengue and the impact of release of wMel Wolbachia-infected mosquitoes in Indonesia: a modelling study","title-short":"Estimating the burden of dengue and the impact of release of wMel Wolbachia-infected mosquitoes in Indonesia","volume":"17","author":[{"family":"O’Reilly","given":"Kathleen M."},{"family":"Hendrickx","given":"Emilie"},{"family":"Kharisma","given":"Dinar D."},{"family":"Wilastonegoro","given":"Nandyan N."},{"family":"Carrington","given":"Lauren B."},{"family":"Elyazar","given":"Iqbal R. F."},{"family":"Kucharski","given":"Adam J."},{"family":"Lowe","given":"Rachel"},{"family":"Flasche","given":"Stefan"},{"family":"Pigott","given":"David M."},{"family":"Reiner","given":"Robert C."},{"family":"Edmunds","given":"W. John"},{"family":"Hay","given":"Simon I."},{"family":"Yakob","given":"Laith"},{"family":"Shepard","given":"Donald S."},{"family":"Brady","given":"Oliver J."}],"issued":{"date-parts":[["2019",12]]}}},{"id":595,"uris":["http://zotero.org/users/10607232/items/2ZPZYWZN"],"itemData":{"id":595,"type":"article-journal","abstract":"Background: Release of virus-blocking Wolbachia-infected mosquitoes is an emerging disease control strategy that aims to control dengue and other arboviral infections. Early entomological data and modelling analyses have suggested promising outcomes, and wMel Wolbachia releases are now ongoing or planned in 12 countries. To help inform government, donor, or philanthropist decisions on scale-up beyond single city releases, we assessed this technology’s cost-effectiveness under alternative programmatic options.\nMethods: Using costing data from existing Wolbachia releases, previous dynamic model-based estimates of Wolbachia effectiveness, and a spatially explicit model of release and surveillance requirements, we predicted the costs and effectiveness of the ongoing programme in Yogyakarta City and three new hypothetical programmes in Yogyakarta Special Autonomous Region, Jakarta, and Bali.\nResults: We predicted Wolbachia to be a highly cost-effective intervention when deployed in high-density urban areas with gross cost-effectiveness below $1500 per DALY averted. When offsets from the health system and societal perspective were included, such programmes even became cost saving over 10-year time horizons with favourable benefit-cost ratios of 1.35 to 3.40. Sequencing Wolbachia releases over 10 years could reduce programme costs by approximately 38% compared to simultaneous releases everywhere, but also delays the benefits. Even if unexpected challenges occurred during deployment, such as emergence of resistance in the medium-term or low effective coverage, Wolbachia would remain a cost-saving intervention.\nConclusions: Wolbachia releases in high-density urban areas are expected to be highly cost-effective and could potentially be the first cost-saving intervention for dengue. Sites with strong public health infrastructure, fiscal capacity, and community support should be prioritised.","container-title":"BMC Medicine","DOI":"10.1186/s12916-020-01638-2","ISSN":"1741-7015","issue":"1","journalAbbreviation":"BMC Med","language":"en","page":"186","source":"DOI.org (Crossref)","title":"The cost-effectiveness of controlling dengue in Indonesia using wMel Wolbachia released at scale: a modelling study","title-short":"The cost-effectiveness of controlling dengue in Indonesia using wMel Wolbachia released at scale","volume":"18","author":[{"family":"Brady","given":"Oliver J."},{"family":"Kharisma","given":"Dinar D."},{"family":"Wilastonegoro","given":"Nandyan N."},{"family":"O’Reilly","given":"Kathleen M."},{"family":"Hendrickx","given":"Emilie"},{"family":"Bastos","given":"Leonardo S."},{"family":"Yakob","given":"Laith"},{"family":"Shepard","given":"Donald S."}],"issued":{"date-parts":[["2020",12]]}}}],"schema":"https://github.com/citation-style-language/schema/raw/master/csl-citation.json"} </w:instrText>
      </w:r>
      <w:r w:rsidR="004E3116"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(4,46)</w:t>
      </w:r>
      <w:r w:rsidR="004E3116" w:rsidRPr="000A03F1">
        <w:rPr>
          <w:rFonts w:ascii="Times New Roman" w:hAnsi="Times New Roman" w:cs="Times New Roman"/>
          <w:sz w:val="24"/>
          <w:szCs w:val="24"/>
        </w:rPr>
        <w:fldChar w:fldCharType="end"/>
      </w:r>
      <w:r w:rsidR="004E3116" w:rsidRPr="000A03F1">
        <w:rPr>
          <w:rFonts w:ascii="Times New Roman" w:hAnsi="Times New Roman" w:cs="Times New Roman"/>
          <w:sz w:val="24"/>
          <w:szCs w:val="24"/>
        </w:rPr>
        <w:t>.</w:t>
      </w:r>
    </w:p>
    <w:p w14:paraId="1D37E091" w14:textId="0CBA6BC0" w:rsidR="00170067" w:rsidRPr="000A03F1" w:rsidRDefault="00170067" w:rsidP="006B45AB">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It might </w:t>
      </w:r>
      <w:r w:rsidR="00F479B9" w:rsidRPr="000A03F1">
        <w:rPr>
          <w:rFonts w:ascii="Times New Roman" w:hAnsi="Times New Roman" w:cs="Times New Roman"/>
          <w:sz w:val="24"/>
          <w:szCs w:val="24"/>
        </w:rPr>
        <w:t>be important</w:t>
      </w:r>
      <w:r w:rsidRPr="000A03F1">
        <w:rPr>
          <w:rFonts w:ascii="Times New Roman" w:hAnsi="Times New Roman" w:cs="Times New Roman"/>
          <w:sz w:val="24"/>
          <w:szCs w:val="24"/>
        </w:rPr>
        <w:t xml:space="preserve"> to note that the </w:t>
      </w:r>
      <w:r w:rsidR="00F479B9" w:rsidRPr="000A03F1">
        <w:rPr>
          <w:rFonts w:ascii="Times New Roman" w:hAnsi="Times New Roman" w:cs="Times New Roman"/>
          <w:sz w:val="24"/>
          <w:szCs w:val="24"/>
        </w:rPr>
        <w:t xml:space="preserve">VE </w:t>
      </w:r>
      <w:r w:rsidRPr="000A03F1">
        <w:rPr>
          <w:rFonts w:ascii="Times New Roman" w:hAnsi="Times New Roman" w:cs="Times New Roman"/>
          <w:sz w:val="24"/>
          <w:szCs w:val="24"/>
        </w:rPr>
        <w:t>of presently available vaccines depends on both the infecting serotypes and the serostatus of the vaccinees</w:t>
      </w:r>
      <w:r w:rsidR="009931BC" w:rsidRPr="000A03F1">
        <w:rPr>
          <w:rFonts w:ascii="Times New Roman" w:hAnsi="Times New Roman" w:cs="Times New Roman"/>
          <w:sz w:val="24"/>
          <w:szCs w:val="24"/>
        </w:rPr>
        <w:t xml:space="preserve"> </w:t>
      </w:r>
      <w:r w:rsidR="009931BC"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{"citationID":"a13hguccca3","properties":{"formattedCitation":"(25,26,44)","plainCitation":"(25,26,44)","noteIndex":0},"citationItems":[{"id":127,"uris":["http://zotero.org/users/10607232/items/VKGYAWYL"],"itemData":{"id":127,"type":"article-journal","abstract":"BACKGROUND A candidate tetravalent dengue vaccine is being assessed in three clinical trials involving more than 35,000 children between the ages of 2 and 16 years in Asian–Pacific and Latin American countries. We report the results of long-term follow-up interim analyses and integrated efficacy analyses.\nMETHODS We are assessing the incidence of hospitalization for virologically confirmed dengue as a surrogate safety end point during follow-up in years 3 to 6 of two phase 3 trials, CYD14 and CYD15, and a phase 2b trial, CYD23/57. We estimated vaccine efficacy using pooled data from the first 25 months of CYD14 and CYD15.\nRESULTS Follow-up data were available for 10,165 of 10,275 participants (99%) in CYD14 and 19,898 of 20,869 participants (95%) in CYD15. Data were available for 3203 of the 4002 participants (80%) in the CYD23 trial included in CYD57. During year 3 in the CYD14, CYD15, and CYD57 trials combined, hospitalization for virologically confirmed dengue occurred in 65 of 22,177 participants in the vaccine group and 39 of 11,089 participants in the control group. Pooled relative risks of hospitalization for dengue were 0.84 (95% confidence interval [CI], 0.56 to 1.24) among all participants, 1.58 (95% CI, 0.83 to 3.02) among those under the age of 9 years, and 0.50 (95% CI, 0.29 to 0.86) among those 9 years of age or older. During year 3, hospitalization for severe dengue, as defined by the independent data monitoring committee criteria, occurred in 18 of 22,177 participants in the vaccine group and 6 of 11,089 participants in the control group. Pooled rates of efficacy for symptomatic dengue during the first 25 months were 60.3% (95% CI, 55.7 to 64.5) for all participants, 65.6% (95% CI, 60.7 to 69.9) for those 9 years of age or older, and 44.6% (95% CI, 31.6 to 55.0) for those younger than 9 years of age. The authors’ full names, academic degrees, and affiliations are listed in the Appendix. Address reprint requests to Dr. Saville at Sanofi Pasteur, 2 Ave. Pont Pasteur, 69367 Lyon CEDEX 07, France, or at ­melanie.­saville@­sanofipasteur.­com. *A complete list of investigators in the CYD-TDV Dengue Vaccine Working Group is provided in the Supplementary Appendix, available at NEJM.org. This article was published on July 27, 2015, at NEJM.org. N Engl J Med 2015;373:1195-206. DOI: 10.1056/NEJMoa1506223 Copyright © 2015 Massachusetts Medical Society.\nCONCLUSIONS Although the unexplained higher incidence of hospitalization for dengue in year 3 among children younger than 9 years of age needs to be carefully monitored during long-term follow-up, the risk among children 2 to 16 years of age was lower in the vaccine group than in the control group. (Funded by Sanofi Pasteur; ClinicalTrials .gov numbers, NCT00842530, NCT01983553, NCT01373281, and NCT01374516.)","container-title":"New England Journal of Medicine","DOI":"10.1056/NEJMoa1506223","ISSN":"0028-4793, 1533-4406","issue":"13","journalAbbreviation":"N Engl J Med","language":"en","page":"1195-1206","source":"DOI.org (Crossref)","title":"Efficacy and Long-Term Safety of a Dengue Vaccine in Regions of Endemic Disease","volume":"373","author":[{"family":"Hadinegoro","given":"Sri Rezeki"},{"family":"Arredondo-García","given":"Jose Luis"},{"family":"Capeding","given":"Maria Rosario"},{"family":"Deseda","given":"Carmen"},{"family":"Chotpitayasunondh","given":"Tawee"},{"family":"Dietze","given":"Reynaldo"},{"family":"Hj Muhammad Ismail","given":"H.I."},{"family":"Reynales","given":"Humberto"},{"family":"Limkittikul","given":"Kriengsak"},{"family":"Rivera-Medina","given":"Doris Maribel"},{"family":"Tran","given":"Huu Ngoc"},{"family":"Bouckenooghe","given":"Alain"},{"family":"Chansinghakul","given":"Danaya"},{"family":"Cortés","given":"Margarita"},{"family":"Fanouillere","given":"Karen"},{"family":"Forrat","given":"Remi"},{"family":"Frago","given":"Carina"},{"family":"Gailhardou","given":"Sophia"},{"family":"Jackson","given":"Nicholas"},{"family":"Noriega","given":"Fernando"},{"family":"Plennevaux","given":"Eric"},{"family":"Wartel","given":"T. Anh"},{"family":"Zambrano","given":"Betzana"},{"family":"Saville","given":"Melanie"}],"issued":{"date-parts":[["2015",9,24]]}}},{"id":556,"uris":["http://zotero.org/users/10607232/items/RAJUJFLG"],"itemData":{"id":556,"type":"article-journal","abstract":"Background: 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id":565,"uris":["http://zotero.org/users/10607232/items/IF9SV5SF"],"itemData":{"id":565,"type":"article-journal","abstract":"Abstract\n            CYD-TDV is the first licensed dengue vaccine for individuals 9–45 (or 60) years of age. Using 12% of the subjects enroled in phase-2b and phase-3 trials for which baseline serostatus was measured, the vaccine-induced protection against virologically confirmed dengue during active surveillance (0–25 months) was found to vary with prior exposure to dengue. Because age and dengue exposure are highly correlated in endemic settings, refined insight into how efficacy varies by serostatus and age is essential to understand the increased risk of hospitalisation observed among vaccinated individuals during the long-term follow-up and to develop safe and effective vaccination strategies. Here we apply machine learning to impute the baseline serostatus for subjects with post-dose 3 titres but missing baseline serostatus. We find evidence for age dependence in efficacy independent of serostatus and estimate that among 9–16 year olds, CYD-TDV is protective against serotypes 1, 3 and 4 regardless of baseline serostatus.","container-title":"Nature Communications","DOI":"10.1038/s41467-018-06006-6","ISSN":"2041-1723","issue":"1","journalAbbreviation":"Nat Commun","language":"en","page":"3644","source":"DOI.org (Crossref)","title":"Refined efficacy estimates of the Sanofi Pasteur dengue vaccine CYD-TDV using machine learning","volume":"9","author":[{"family":"Dorigatti","given":"I."},{"family":"Donnelly","given":"C. A."},{"family":"Laydon","given":"D. J."},{"family":"Small","given":"R."},{"family":"Jackson","given":"N."},{"family":"Coudeville","given":"L."},{"family":"Ferguson","given":"N. M."}],"issued":{"date-parts":[["2018",9,7]]}}}],"schema":"https://github.com/citation-style-language/schema/raw/master/csl-citation.json"} </w:instrText>
      </w:r>
      <w:r w:rsidR="009931BC"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(25,26,44)</w:t>
      </w:r>
      <w:r w:rsidR="009931BC"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With the availability of serotype-specific </w:t>
      </w:r>
      <w:r w:rsidR="0078303E" w:rsidRPr="000A03F1">
        <w:rPr>
          <w:rFonts w:ascii="Times New Roman" w:hAnsi="Times New Roman" w:cs="Times New Roman"/>
          <w:sz w:val="24"/>
          <w:szCs w:val="24"/>
        </w:rPr>
        <w:t>VE</w:t>
      </w:r>
      <w:r w:rsidRPr="000A03F1">
        <w:rPr>
          <w:rFonts w:ascii="Times New Roman" w:hAnsi="Times New Roman" w:cs="Times New Roman"/>
          <w:sz w:val="24"/>
          <w:szCs w:val="24"/>
        </w:rPr>
        <w:t xml:space="preserve"> data, the </w:t>
      </w:r>
      <w:r w:rsidR="005C5A36" w:rsidRPr="000A03F1">
        <w:rPr>
          <w:rFonts w:ascii="Times New Roman" w:hAnsi="Times New Roman" w:cs="Times New Roman"/>
          <w:sz w:val="24"/>
          <w:szCs w:val="24"/>
        </w:rPr>
        <w:t>use</w:t>
      </w:r>
      <w:r w:rsidRPr="000A03F1">
        <w:rPr>
          <w:rFonts w:ascii="Times New Roman" w:hAnsi="Times New Roman" w:cs="Times New Roman"/>
          <w:sz w:val="24"/>
          <w:szCs w:val="24"/>
        </w:rPr>
        <w:t xml:space="preserve"> of the Duke model enabled us to assess how the dynamics of circulating serotypes could impact the dengue vaccination strategy, in conjunction with pre-vaccination screening. We have incorporated this assumption into our sensitivity analysis, and all scenarios </w:t>
      </w:r>
      <w:r w:rsidR="009F59A8" w:rsidRPr="000A03F1">
        <w:rPr>
          <w:rFonts w:ascii="Times New Roman" w:hAnsi="Times New Roman" w:cs="Times New Roman"/>
          <w:sz w:val="24"/>
          <w:szCs w:val="24"/>
        </w:rPr>
        <w:t>consistently showed the screening scenario consistently yielded better outcomes compared to its counterpart scenario</w:t>
      </w:r>
      <w:r w:rsidRPr="000A03F1">
        <w:rPr>
          <w:rFonts w:ascii="Times New Roman" w:hAnsi="Times New Roman" w:cs="Times New Roman"/>
          <w:sz w:val="24"/>
          <w:szCs w:val="24"/>
        </w:rPr>
        <w:t xml:space="preserve">, thus </w:t>
      </w:r>
      <w:r w:rsidR="003B468B" w:rsidRPr="000A03F1">
        <w:rPr>
          <w:rFonts w:ascii="Times New Roman" w:hAnsi="Times New Roman" w:cs="Times New Roman"/>
          <w:sz w:val="24"/>
          <w:szCs w:val="24"/>
        </w:rPr>
        <w:t>confirming the robustness of our analysis</w:t>
      </w:r>
      <w:r w:rsidR="009F59A8" w:rsidRPr="000A03F1">
        <w:rPr>
          <w:rFonts w:ascii="Times New Roman" w:hAnsi="Times New Roman" w:cs="Times New Roman"/>
          <w:sz w:val="24"/>
          <w:szCs w:val="24"/>
        </w:rPr>
        <w:t xml:space="preserve"> favouring screening to be implemented</w:t>
      </w:r>
      <w:r w:rsidR="003B468B" w:rsidRPr="000A03F1">
        <w:rPr>
          <w:rFonts w:ascii="Times New Roman" w:hAnsi="Times New Roman" w:cs="Times New Roman"/>
          <w:sz w:val="24"/>
          <w:szCs w:val="24"/>
        </w:rPr>
        <w:t>.</w:t>
      </w:r>
    </w:p>
    <w:p w14:paraId="1D6CB5F7" w14:textId="277A4ACE" w:rsidR="00CE5A47" w:rsidRPr="000A03F1" w:rsidRDefault="008244DB" w:rsidP="00741A05">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lastRenderedPageBreak/>
        <w:t>However, t</w:t>
      </w:r>
      <w:r w:rsidR="00CE5A47" w:rsidRPr="000A03F1">
        <w:rPr>
          <w:rFonts w:ascii="Times New Roman" w:hAnsi="Times New Roman" w:cs="Times New Roman"/>
          <w:sz w:val="24"/>
          <w:szCs w:val="24"/>
        </w:rPr>
        <w:t xml:space="preserve">he output from this model does not exclude the possibility of other immunological and ecological factors influencing the dynamics of dengue disease. Alongside factors like transmission through mosquito vectors, the virus amplification rate, and population density, climate variability also plays a crucial role </w:t>
      </w:r>
      <w:r w:rsidR="00CE5A47"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{"citationID":"XdvxeVLT","properties":{"formattedCitation":"(47)","plainCitation":"(47)","noteIndex":0},"citationItems":[{"id":567,"uris":["http://zotero.org/users/10607232/items/6G83FZXH"],"itemData":{"id":567,"type":"article-journal","abstract":"Significance\n            Persons living in the tropics and subtropics are at risk for dengue fever and dengue hemorrhagic fever, and large epidemics occur unexpectedly that can overburden healthcare systems. The spatial and temporal dynamics of dengue transmission are poorly understood, limiting disease control efforts. We compiled a large-scale dataset and analyzed continental-scale patterns of dengue in Southeast Asia. Our analysis shows that periods of elevated temperatures can drive the occurrence of synchronous dengue epidemics across the region. This multicountry collaborative study improved insight that may lead to improved prediction of dengue transmission patterns and more effective disease surveillance and control efforts.\n          , \n            \n              Dengue is a mosquito-transmitted virus infection that causes epidemics of febrile illness and hemorrhagic fever across the tropics and subtropics worldwide. Annual epidemics are commonly observed, but there is substantial spatiotemporal heterogeneity in intensity. A better understanding of this heterogeneity in dengue transmission could lead to improved epidemic prediction and disease control. Time series decomposition methods enable the isolation and study of temporal epidemic dynamics with a specific periodicity (e.g., annual cycles related to climatic drivers and multiannual cycles caused by dynamics in population immunity). We collected and analyzed up to 18 y of monthly dengue surveillance reports on a total of 3.5 million reported dengue cases from 273 provinces in eight countries in Southeast Asia, covering </w:instrText>
      </w:r>
      <w:r w:rsidR="004B23C6" w:rsidRPr="000A03F1">
        <w:rPr>
          <w:rFonts w:ascii="Cambria Math" w:hAnsi="Cambria Math" w:cs="Cambria Math"/>
          <w:sz w:val="24"/>
          <w:szCs w:val="24"/>
        </w:rPr>
        <w:instrText>∼</w:instrText>
      </w:r>
      <w:r w:rsidR="004B23C6" w:rsidRPr="000A03F1">
        <w:rPr>
          <w:rFonts w:ascii="Times New Roman" w:hAnsi="Times New Roman" w:cs="Times New Roman"/>
          <w:sz w:val="24"/>
          <w:szCs w:val="24"/>
        </w:rPr>
        <w:instrText xml:space="preserve">10\n              7\n              km\n              2\n              . We detected strong patterns of synchronous dengue transmission across the entire region, most markedly during a period of high incidence in 1997–1998, which was followed by a period of extremely low incidence in 2001–2002. This synchrony in dengue incidence coincided with elevated temperatures throughout the region in 1997–1998 and the strongest El Niño episode of the century. Multiannual dengue cycles (2–5 y) were highly coherent with the Oceanic Niño Index, and synchrony of these cycles increased with temperature. We also detected localized traveling waves of multiannual dengue epidemic cycles in Thailand, Laos, and the Philippines that were dependent on temperature. This study reveals forcing mechanisms that drive synchronization of dengue epidemics on a continental scale across Southeast Asia.","container-title":"Proceedings of the National Academy of Sciences","DOI":"10.1073/pnas.1501375112","ISSN":"0027-8424, 1091-6490","issue":"42","journalAbbreviation":"Proc. Natl. Acad. Sci. U.S.A.","language":"en","page":"13069-13074","source":"DOI.org (Crossref)","title":"Region-wide synchrony and traveling waves of dengue across eight countries in Southeast Asia","volume":"112","author":[{"family":"Van Panhuis","given":"Willem G."},{"family":"Choisy","given":"Marc"},{"family":"Xiong","given":"Xin"},{"family":"Chok","given":"Nian Shong"},{"family":"Akarasewi","given":"Pasakorn"},{"family":"Iamsirithaworn","given":"Sopon"},{"family":"Lam","given":"Sai K."},{"family":"Chong","given":"Chee K."},{"family":"Lam","given":"Fook C."},{"family":"Phommasak","given":"Bounlay"},{"family":"Vongphrachanh","given":"Phengta"},{"family":"Bouaphanh","given":"Khamphaphongphane"},{"family":"Rekol","given":"Huy"},{"family":"Hien","given":"Nguyen Tran"},{"family":"Thai","given":"Pham Quang"},{"family":"Duong","given":"Tran Nhu"},{"family":"Chuang","given":"Jen-Hsiang"},{"family":"Liu","given":"Yu-Lun"},{"family":"Ng","given":"Lee-Ching"},{"family":"Shi","given":"Yuan"},{"family":"Tayag","given":"Enrique A."},{"family":"Roque","given":"Vito G."},{"family":"Lee Suy","given":"Lyndon L."},{"family":"Jarman","given":"Richard G."},{"family":"Gibbons","given":"Robert V."},{"family":"Velasco","given":"John Mark S."},{"family":"Yoon","given":"In-Kyu"},{"family":"Burke","given":"Donald S."},{"family":"Cummings","given":"Derek A. T."}],"issued":{"date-parts":[["2015",10,20]]}}}],"schema":"https://github.com/citation-style-language/schema/raw/master/csl-citation.json"} </w:instrText>
      </w:r>
      <w:r w:rsidR="00CE5A47"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(47)</w:t>
      </w:r>
      <w:r w:rsidR="00CE5A47" w:rsidRPr="000A03F1">
        <w:rPr>
          <w:rFonts w:ascii="Times New Roman" w:hAnsi="Times New Roman" w:cs="Times New Roman"/>
          <w:sz w:val="24"/>
          <w:szCs w:val="24"/>
        </w:rPr>
        <w:fldChar w:fldCharType="end"/>
      </w:r>
      <w:r w:rsidR="00CE5A47" w:rsidRPr="000A03F1">
        <w:rPr>
          <w:rFonts w:ascii="Times New Roman" w:hAnsi="Times New Roman" w:cs="Times New Roman"/>
          <w:sz w:val="24"/>
          <w:szCs w:val="24"/>
        </w:rPr>
        <w:t>. The abundance and longevity of mosquito vectors, as well as the virus transmission dynamics, are significantly affected by temperature, rainfall, and humidity, making climate variability one of the most important additional factors regulating dengue dynamics</w:t>
      </w:r>
      <w:r w:rsidR="009931BC" w:rsidRPr="000A03F1">
        <w:rPr>
          <w:rFonts w:ascii="Times New Roman" w:hAnsi="Times New Roman" w:cs="Times New Roman"/>
          <w:sz w:val="24"/>
          <w:szCs w:val="24"/>
        </w:rPr>
        <w:t xml:space="preserve"> </w:t>
      </w:r>
      <w:r w:rsidR="009931BC"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{"citationID":"advh63pje6","properties":{"formattedCitation":"(48,49)","plainCitation":"(48,49)","noteIndex":0},"citationItems":[{"id":600,"uris":["http://zotero.org/users/10607232/items/6WAP7HW9"],"itemData":{"id":600,"type":"article-journal","abstract":"Significance\n            Dengue is a vector-borne infectious disease that threatens human health on a global scale. Because of climate change, globalization, and other factors, dengue has increasingly spread to new countries and over larger areas, from tropical to temperate zones. In this study, we found that climate has both direct effects on dengue incidence and indirect effects mediated by mosquito density, as mosquitoes are the vectors of dengue. The quantitative results derived from this study may be helpful toward advancing our understanding of how climate influences vector-borne diseases and prove useful for the control and prevention of dengue fever.\n          , \n            Dengue, a viral infection transmitted between people by mosquitoes, is one of the most rapidly spreading diseases in the world. Here, we report the analyses covering 11 y (2005–2015) from the city of Guangzhou in southern China. Using the first 8 y of data to develop an ecologically based model for the dengue system, we reliably predict the following 3 y of dengue dynamics—years with exceptionally extensive dengue outbreaks. We demonstrate that climate conditions, through the effects of rainfall and temperature on mosquito abundance and dengue transmission rate, play key roles in explaining the temporal dynamics of dengue incidence in the human population. Our study thus contributes to a better understanding of dengue dynamics and provides a predictive tool for preventive dengue reduction strategies.","container-title":"Proceedings of the National Academy of Sciences","DOI":"10.1073/pnas.1618558114","ISSN":"0027-8424, 1091-6490","issue":"1","journalAbbreviation":"Proc. Natl. Acad. Sci. U.S.A.","language":"en","page":"113-118","source":"DOI.org (Crossref)","title":"Climate variation drives dengue dynamics","volume":"114","author":[{"family":"Xu","given":"Lei"},{"family":"Stige","given":"Leif C."},{"family":"Chan","given":"Kung-Sik"},{"family":"Zhou","given":"Jie"},{"family":"Yang","given":"Jun"},{"family":"Sang","given":"Shaowei"},{"family":"Wang","given":"Ming"},{"family":"Yang","given":"Zhicong"},{"family":"Yan","given":"Ziqiang"},{"family":"Jiang","given":"Tong"},{"family":"Lu","given":"Liang"},{"family":"Yue","given":"Yujuan"},{"family":"Liu","given":"Xiaobo"},{"family":"Lin","given":"Hualiang"},{"family":"Xu","given":"Jianguo"},{"family":"Liu","given":"Qiyong"},{"family":"Stenseth","given":"Nils Chr."}],"issued":{"date-parts":[["2017",1,3]]}}},{"id":598,"uris":["http://zotero.org/users/10607232/items/AM6QHX6S"],"itemData":{"id":598,"type":"article-journal","abstract":"Florida faces the challenge of repeated introduction and autochthonous transmission of arboviruses transmitted by\n              Aedes aegypti\n              and\n              Aedes albopictus\n              . Empirically-based predictive models of the spatial distribution of these species would aid surveillance and vector control efforts. To predict the occurrence and abundance of these species, we fit a mixed-effects zero-inflated negative binomial regression to a mosquito surveillance dataset with records from more than 200,000 trap days, representative of 53% of the land area and ranging from 2004 to 2018 in Florida. We found an asymmetrical competitive interaction between adult populations of\n              Aedes aegypti\n              and\n              Aedes albopictus\n              for the sampled sites. Wind speed was negatively associated with the occurrence and abundance of both vectors. Our model predictions show high accuracy (72.9% to 94.5%) in validation tests leaving out a random 10% subset of sites and data since 2017, suggesting a potential for predicting the distribution of the two\n              Aedes\n              vectors.","container-title":"PLOS Neglected Tropical Diseases","DOI":"10.1371/journal.pntd.0009063","ISSN":"1935-2735","issue":"3","journalAbbreviation":"PLoS Negl Trop Dis","language":"en","page":"e0009063","source":"DOI.org (Crossref)","title":"Modelling distributions of Aedes aegypti and Aedes albopictus using climate, host density and interspecies competition","volume":"15","author":[{"family":"Yang","given":"Bingyi"},{"family":"Borgert","given":"Brooke A."},{"family":"Alto","given":"Barry W."},{"family":"Boohene","given":"Carl K."},{"family":"Brew","given":"Joe"},{"family":"Deutsch","given":"Kelly"},{"family":"DeValerio","given":"James T."},{"family":"Dinglasan","given":"Rhoel R."},{"family":"Dixon","given":"Daniel"},{"family":"Faella","given":"Joseph M."},{"family":"Fisher-Grainger","given":"Sandra L."},{"family":"Glass","given":"Gregory E."},{"family":"Hayes","given":"Reginald"},{"family":"Hoel","given":"David F."},{"family":"Horton","given":"Austin"},{"family":"Janusauskaite","given":"Agne"},{"family":"Kellner","given":"Bill"},{"family":"Kraemer","given":"Moritz U. G."},{"family":"Lucas","given":"Keira J."},{"family":"Medina","given":"Johana"},{"family":"Morreale","given":"Rachel"},{"family":"Petrie","given":"William"},{"family":"Reiner","given":"Robert C."},{"family":"Riles","given":"Michael T."},{"family":"Salje","given":"Henrik"},{"family":"Smith","given":"David L."},{"family":"Smith","given":"John P."},{"family":"Solis","given":"Amy"},{"family":"Stuck","given":"Jason"},{"family":"Vasquez","given":"Chalmers"},{"family":"Williams","given":"Katie F."},{"family":"Xue","given":"Rui-De"},{"family":"Cummings","given":"Derek A. T."}],"editor":[{"family":"Barker","given":"Christopher M."}],"issued":{"date-parts":[["2021",3,25]]}}}],"schema":"https://github.com/citation-style-language/schema/raw/master/csl-citation.json"} </w:instrText>
      </w:r>
      <w:r w:rsidR="009931BC"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(48,49)</w:t>
      </w:r>
      <w:r w:rsidR="009931BC" w:rsidRPr="000A03F1">
        <w:rPr>
          <w:rFonts w:ascii="Times New Roman" w:hAnsi="Times New Roman" w:cs="Times New Roman"/>
          <w:sz w:val="24"/>
          <w:szCs w:val="24"/>
        </w:rPr>
        <w:fldChar w:fldCharType="end"/>
      </w:r>
      <w:r w:rsidR="00CE5A47" w:rsidRPr="000A03F1">
        <w:rPr>
          <w:rFonts w:ascii="Times New Roman" w:hAnsi="Times New Roman" w:cs="Times New Roman"/>
          <w:sz w:val="24"/>
          <w:szCs w:val="24"/>
        </w:rPr>
        <w:t xml:space="preserve">. A recent study successfully formulated a proxy of female mosquito vector’s transmission potential that is highly correlated with climate inputs worldwide </w:t>
      </w:r>
      <w:r w:rsidR="00CE5A47"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{"citationID":"EuCzT1nU","properties":{"formattedCitation":"(50)","plainCitation":"(50)","noteIndex":0},"citationItems":[{"id":569,"uris":["http://zotero.org/users/10607232/items/FCMEHAFX"],"itemData":{"id":569,"type":"article-journal","abstract":"Abstract\n            \n              Mosquito-borne viruses increasingly threaten human populations due to accelerating changes in climate, human and mosquito migration, and land use practices. Over the last three decades, the global distribution of dengue has rapidly expanded, causing detrimental health and economic problems in many areas of the world. To develop effective disease control measures and plan for future epidemics, there is an urgent need to map the current and future transmission potential of dengue across both endemic and emerging areas. Expanding and applying Index P, a previously developed mosquito-borne viral suitability measure, we map the global climate-driven transmission potential of dengue virus transmitted by\n              Aedes aegypti\n              mosquitoes from 1981 to 2019. This database of dengue transmission suitability maps and an R package for Index P estimations are offered to the public health community as resources towards the identification of past, current and future transmission hotspots. These resources and the studies they facilitate can contribute to the planning of disease control and prevention strategies, especially in areas where surveillance is unreliable or non-existent.","container-title":"Scientific Data","DOI":"10.1038/s41597-023-02170-7","ISSN":"2052-4463","issue":"1","journalAbbreviation":"Sci Data","language":"en","page":"275","source":"DOI.org (Crossref)","title":"Global transmission suitability maps for dengue virus transmitted by Aedes aegypti from 1981 to 2019","volume":"10","author":[{"family":"Nakase","given":"Taishi"},{"family":"Giovanetti","given":"Marta"},{"family":"Obolski","given":"Uri"},{"family":"Lourenço","given":"José"}],"issued":{"date-parts":[["2023",5,12]]}}}],"schema":"https://github.com/citation-style-language/schema/raw/master/csl-citation.json"} </w:instrText>
      </w:r>
      <w:r w:rsidR="00CE5A47"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(50)</w:t>
      </w:r>
      <w:r w:rsidR="00CE5A47" w:rsidRPr="000A03F1">
        <w:rPr>
          <w:rFonts w:ascii="Times New Roman" w:hAnsi="Times New Roman" w:cs="Times New Roman"/>
          <w:sz w:val="24"/>
          <w:szCs w:val="24"/>
        </w:rPr>
        <w:fldChar w:fldCharType="end"/>
      </w:r>
      <w:r w:rsidR="00CE5A47" w:rsidRPr="000A03F1">
        <w:rPr>
          <w:rFonts w:ascii="Times New Roman" w:hAnsi="Times New Roman" w:cs="Times New Roman"/>
          <w:sz w:val="24"/>
          <w:szCs w:val="24"/>
        </w:rPr>
        <w:t xml:space="preserve">. Consequently, </w:t>
      </w:r>
      <w:r w:rsidR="009F59A8" w:rsidRPr="000A03F1">
        <w:rPr>
          <w:rFonts w:ascii="Times New Roman" w:hAnsi="Times New Roman" w:cs="Times New Roman"/>
          <w:sz w:val="24"/>
          <w:szCs w:val="24"/>
        </w:rPr>
        <w:t>future studies</w:t>
      </w:r>
      <w:r w:rsidR="00CE5A47" w:rsidRPr="000A03F1">
        <w:rPr>
          <w:rFonts w:ascii="Times New Roman" w:hAnsi="Times New Roman" w:cs="Times New Roman"/>
          <w:sz w:val="24"/>
          <w:szCs w:val="24"/>
        </w:rPr>
        <w:t xml:space="preserve"> </w:t>
      </w:r>
      <w:r w:rsidR="009F59A8" w:rsidRPr="000A03F1">
        <w:rPr>
          <w:rFonts w:ascii="Times New Roman" w:hAnsi="Times New Roman" w:cs="Times New Roman"/>
          <w:sz w:val="24"/>
          <w:szCs w:val="24"/>
        </w:rPr>
        <w:t xml:space="preserve">may be needed to </w:t>
      </w:r>
      <w:r w:rsidR="00CE5A47" w:rsidRPr="000A03F1">
        <w:rPr>
          <w:rFonts w:ascii="Times New Roman" w:hAnsi="Times New Roman" w:cs="Times New Roman"/>
          <w:sz w:val="24"/>
          <w:szCs w:val="24"/>
        </w:rPr>
        <w:t>consider the interplay of multiple factors, including immunological, ecological, and climatic variables</w:t>
      </w:r>
      <w:r w:rsidR="009F59A8" w:rsidRPr="000A03F1">
        <w:rPr>
          <w:rFonts w:ascii="Times New Roman" w:hAnsi="Times New Roman" w:cs="Times New Roman"/>
          <w:sz w:val="24"/>
          <w:szCs w:val="24"/>
        </w:rPr>
        <w:t xml:space="preserve"> as a means to achieve more comprehensive understanding of dengue disease dynamics</w:t>
      </w:r>
      <w:r w:rsidR="00CE5A47" w:rsidRPr="000A03F1">
        <w:rPr>
          <w:rFonts w:ascii="Times New Roman" w:hAnsi="Times New Roman" w:cs="Times New Roman"/>
          <w:sz w:val="24"/>
          <w:szCs w:val="24"/>
        </w:rPr>
        <w:t>.</w:t>
      </w:r>
    </w:p>
    <w:p w14:paraId="55A0C331" w14:textId="19949B6D" w:rsidR="00314ECC" w:rsidRPr="000A03F1" w:rsidRDefault="007E5CED" w:rsidP="007E5CED">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The fluctuation of circulating DENV serotypes over time </w:t>
      </w:r>
      <w:r w:rsidR="000911F7" w:rsidRPr="000A03F1">
        <w:rPr>
          <w:rFonts w:ascii="Times New Roman" w:hAnsi="Times New Roman" w:cs="Times New Roman"/>
          <w:sz w:val="24"/>
          <w:szCs w:val="24"/>
        </w:rPr>
        <w:t>might also</w:t>
      </w:r>
      <w:r w:rsidRPr="000A03F1">
        <w:rPr>
          <w:rFonts w:ascii="Times New Roman" w:hAnsi="Times New Roman" w:cs="Times New Roman"/>
          <w:sz w:val="24"/>
          <w:szCs w:val="24"/>
        </w:rPr>
        <w:t xml:space="preserve"> impact the </w:t>
      </w:r>
      <w:r w:rsidR="009F59A8" w:rsidRPr="000A03F1">
        <w:rPr>
          <w:rFonts w:ascii="Times New Roman" w:hAnsi="Times New Roman" w:cs="Times New Roman"/>
          <w:sz w:val="24"/>
          <w:szCs w:val="24"/>
        </w:rPr>
        <w:t xml:space="preserve">overall outcome </w:t>
      </w:r>
      <w:r w:rsidRPr="000A03F1">
        <w:rPr>
          <w:rFonts w:ascii="Times New Roman" w:hAnsi="Times New Roman" w:cs="Times New Roman"/>
          <w:sz w:val="24"/>
          <w:szCs w:val="24"/>
        </w:rPr>
        <w:t xml:space="preserve">of the vaccination </w:t>
      </w:r>
      <w:r w:rsidR="000E3DEB" w:rsidRPr="000A03F1">
        <w:rPr>
          <w:rFonts w:ascii="Times New Roman" w:hAnsi="Times New Roman" w:cs="Times New Roman"/>
          <w:sz w:val="24"/>
          <w:szCs w:val="24"/>
        </w:rPr>
        <w:t>programme</w:t>
      </w:r>
      <w:r w:rsidRPr="000A03F1">
        <w:rPr>
          <w:rFonts w:ascii="Times New Roman" w:hAnsi="Times New Roman" w:cs="Times New Roman"/>
          <w:sz w:val="24"/>
          <w:szCs w:val="24"/>
        </w:rPr>
        <w:t xml:space="preserve"> at different intervals. DENV serotypes exhibit genetic diversity</w:t>
      </w:r>
      <w:r w:rsidR="00A0224F" w:rsidRPr="000A03F1">
        <w:rPr>
          <w:rFonts w:ascii="Times New Roman" w:hAnsi="Times New Roman" w:cs="Times New Roman"/>
          <w:sz w:val="24"/>
          <w:szCs w:val="24"/>
        </w:rPr>
        <w:t xml:space="preserve"> </w:t>
      </w:r>
      <w:r w:rsidR="00A0224F"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{"citationID":"auurt1n52c","properties":{"formattedCitation":"(51,52)","plainCitation":"(51,52)","noteIndex":0},"citationItems":[{"id":606,"uris":["http://zotero.org/users/10607232/items/6S87APCJ"],"itemData":{"id":606,"type":"article-journal","abstract":"Abstract\n            \n              Dengue virus type 2 (DENV-2) contributes substantially to the dengue burden and dengue-related mortality in the tropics and sub-tropics. DENV-2 includes six genotypes, among which cosmopolitan genotype is the most widespread. The present study investigated the evolution, intra-genotype heterogeneity and dispersal of cosmopolitan genotype to understand unique genetic characteristics that have shaped the molecular epidemiology and distribution of cosmopolitan lineages. The spatial analysis demonstrated a wide geo-distribution of cosmopolitan genotype through an extensive inter-continental network, anchored in Southeast Asia and Indian sub-continent. Intra-genotype analyses using 3367 envelope gene sequences revealed six distinct lineages within the cosmopolitan genotype, namely the Indian sub-continent lineage and five other lineages. Indian sub-continent lineage was the most diverged among six lineages and has almost reached the nucleotide divergence threshold of 6% within\n              E\n              gene to qualify as a separate genotype. Genome wide amino acid signatures and selection pressure analyses further suggested differences in evolutionary characteristics between the Indian sub-continent lineage and other lineages. The present study narrates a comprehensive genomic analysis of cosmopolitan genotype and presents notable genetic characteristics that occurred during its evolution and global expansion. Whether those characteristics conferred a fitness advantage to cosmopolitan genotype in different geographies warrant further investigations.","container-title":"Scientific Reports","DOI":"10.1038/s41598-021-92783-y","ISSN":"2045-2322","issue":"1","journalAbbreviation":"Sci Rep","language":"en","page":"13496","source":"DOI.org (Crossref)","title":"Evolution, heterogeneity and global dispersal of cosmopolitan genotype of Dengue virus type 2","volume":"11","author":[{"family":"Yenamandra","given":"Surya Pavan"},{"family":"Koo","given":"Carmen"},{"family":"Chiang","given":"Suzanna"},{"family":"Lim","given":"Han Shi Jeri"},{"family":"Yeo","given":"Zhen Yuan"},{"family":"Ng","given":"Lee Ching"},{"family":"Hapuarachchi","given":"Hapuarachchige Chanditha"}],"issued":{"date-parts":[["2021",6,29]]}}},{"id":604,"uris":["http://zotero.org/users/10607232/items/NM46H7TE"],"itemData":{"id":604,"type":"article-journal","abstract":"Dengue virus (DENV) exists as four genetically distinct serotypes, each of which is historically assumed to be antigenically uniform. Recent analyses suggest that antigenic heterogeneity may exist within each serotype, but its source, extent and impact remain unclear. Here, we construct a sequence-based model to directly map antigenic change to underlying genetic divergence. We identify 49 specific substitutions and four colinear substitution clusters that robustly predict dengue antigenic relationships. We report moderate antigenic diversity within each serotype, resulting in genotype-specific patterns of heterotypic cross-neutralization. We also quantify the impact of antigenic variation on real-world DENV population dynamics, and find that serotype-level antigenic fitness is a dominant driver of dengue clade turnover. These results provide a more nuanced understanding of the relationship between dengue genetic and antigenic evolution, and quantify the effect of antigenic fitness on dengue evolutionary dynamics.","container-title":"eLife","DOI":"10.7554/eLife.42496","ISSN":"2050-084X","language":"en","page":"e42496","source":"DOI.org (Crossref)","title":"Dengue genetic divergence generates within-serotype antigenic variation, but serotypes dominate evolutionary dynamics","volume":"8","author":[{"family":"Bell","given":"Sidney M"},{"family":"Katzelnick","given":"Leah"},{"family":"Bedford","given":"Trevor"}],"issued":{"date-parts":[["2019",8,6]]}}}],"schema":"https://github.com/citation-style-language/schema/raw/master/csl-citation.json"} </w:instrText>
      </w:r>
      <w:r w:rsidR="00A0224F"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(51,52)</w:t>
      </w:r>
      <w:r w:rsidR="00A0224F" w:rsidRPr="000A03F1">
        <w:rPr>
          <w:rFonts w:ascii="Times New Roman" w:hAnsi="Times New Roman" w:cs="Times New Roman"/>
          <w:sz w:val="24"/>
          <w:szCs w:val="24"/>
        </w:rPr>
        <w:fldChar w:fldCharType="end"/>
      </w:r>
      <w:r w:rsidRPr="000A03F1">
        <w:rPr>
          <w:rFonts w:ascii="Times New Roman" w:hAnsi="Times New Roman" w:cs="Times New Roman"/>
          <w:sz w:val="24"/>
          <w:szCs w:val="24"/>
        </w:rPr>
        <w:t>. This factor, along with the fluctuating serotype-specific seroprevalence in the population</w:t>
      </w:r>
      <w:r w:rsidR="00267B2D" w:rsidRPr="000A03F1">
        <w:rPr>
          <w:rFonts w:ascii="Times New Roman" w:hAnsi="Times New Roman" w:cs="Times New Roman"/>
          <w:sz w:val="24"/>
          <w:szCs w:val="24"/>
        </w:rPr>
        <w:t xml:space="preserve"> </w:t>
      </w:r>
      <w:r w:rsidR="00267B2D"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{"citationID":"a113528uqn2","properties":{"formattedCitation":"(53,54)","plainCitation":"(53,54)","noteIndex":0},"citationItems":[{"id":610,"uris":["http://zotero.org/users/10607232/items/3PN4PPK5"],"itemData":{"id":610,"type":"article-journal","abstract":"Background\n              Dengue virus (DENV) infection is a global health concern of increasing magnitude. To target intervention strategies, accurate estimates of the force of infection (FOI) are necessary. Catalytic models have been widely used to estimate DENV FOI and rely on a binary classification of serostatus as seropositive or seronegative, according to pre-defined antibody thresholds. Previous work has demonstrated the use of thresholds can cause serostatus misclassification and biased estimates. In contrast, mixture models do not rely on thresholds and use the full distribution of antibody titres. To date, there has been limited application of mixture models to estimate DENV FOI.\n            \n            \n              Methods\n              We compare the application of mixture models and time-constant and time-varying catalytic models to simulated data and to serological data collected in Vietnam from 2004 to 2009 (N ≥ 2178) and Indonesia in 2014 (N = 3194).\n            \n            \n              Results\n              The simulation study showed larger mean FOI estimate bias from the time-constant and time-varying catalytic models (-0.007 (95% Confidence Interval (CI): -0.069, 0.029) and -0.006 (95% CI -0.095, 0.043)) than from the mixture model (0.001 (95% CI -0.036, 0.065)). Coverage of the true FOI was &gt; 95% for estimates from both the time-varying catalytic and mixture model, however the latter had reduced uncertainty. When applied to real data from Vietnam, the mixture model frequently produced higher FOI and seroprevalence estimates than the catalytic models.\n            \n            \n              Conclusions\n              Our results suggest mixture models represent valid, potentially less biased, alternatives to catalytic models, which could be particularly useful when estimating FOI from data with largely overlapping antibody titre distributions.","container-title":"PLOS Neglected Tropical Diseases","DOI":"10.1371/journal.pntd.0010592","ISSN":"1935-2735","issue":"7","journalAbbreviation":"PLoS Negl Trop Dis","language":"en","page":"e0010592","source":"DOI.org (Crossref)","title":"Estimating dengue transmission intensity from serological data: A comparative analysis using mixture and catalytic models","title-short":"Estimating dengue transmission intensity from serological data","volume":"16","author":[{"family":"Cox","given":"Victoria"},{"family":"O’Driscoll","given":"Megan"},{"family":"Imai","given":"Natsuko"},{"family":"Prayitno","given":"Ari"},{"family":"Hadinegoro","given":"Sri Rezeki"},{"family":"Taurel","given":"Anne-Frieda"},{"family":"Coudeville","given":"Laurent"},{"family":"Dorigatti","given":"Ilaria"}],"editor":[{"family":"Wu","given":"Joseph T."}],"issued":{"date-parts":[["2022",7,11]]}}},{"id":612,"uris":["http://zotero.org/users/10607232/items/PWSW8TP6"],"itemData":{"id":612,"type":"article-journal","abstract":"Significance\n            Using mathematical models to extend knowledge of pathogen transmission and recommend optimized control efforts is dependent on the accuracy of model parameters. The rate at which susceptible individuals become infected [the force of infection (FoI)] is one of the most important parameters, but due to data constraints it is often incorrectly assumed to be constant over time. Using a bespoke method for a 12-y longitudinal dataset of serotype-specific dengue virus (DENV) infections, we estimated time-varying, serotype-specific FoIs for all four DENV serotypes. The FoI varied markedly in time, which implies that DENV transmission dynamics are complex and are best summarized using time-dependent transmission parameters. Our results provide more accurate measures of virus transmission dynamics and a basis for improving selection of control and disease prevention strategies.\n          , \n            Infectious disease models play a key role in public health planning. These models rely on accurate estimates of key transmission parameters such as the force of infection (FoI), which is the per-capita risk of a susceptible person being infected. The FoI captures the fundamental dynamics of transmission and is crucial for gauging control efforts, such as identifying vaccination targets. Dengue virus (DENV) is a mosquito-borne, multiserotype pathogen that currently infects </w:instrText>
      </w:r>
      <w:r w:rsidR="004B23C6" w:rsidRPr="000A03F1">
        <w:rPr>
          <w:rFonts w:ascii="Cambria Math" w:hAnsi="Cambria Math" w:cs="Cambria Math"/>
          <w:sz w:val="24"/>
          <w:szCs w:val="24"/>
        </w:rPr>
        <w:instrText>∼</w:instrText>
      </w:r>
      <w:r w:rsidR="004B23C6" w:rsidRPr="000A03F1">
        <w:rPr>
          <w:rFonts w:ascii="Times New Roman" w:hAnsi="Times New Roman" w:cs="Times New Roman"/>
          <w:sz w:val="24"/>
          <w:szCs w:val="24"/>
        </w:rPr>
        <w:instrText xml:space="preserve">390 million people a year. Existing estimates of the DENV FoI are inaccurate because they rely on the unrealistic assumption that risk is constant over time. Dengue models are thus unreliable for designing vaccine deployment strategies. Here, we present to our knowledge the first time-varying (daily), serotype-specific estimates of DENV FoIs using a spline-based fitting procedure designed to examine a 12-y, longitudinal DENV serological dataset from Iquitos, Peru (11,703 individuals, 38,416 samples, and 22,301 serotype-specific DENV infections from 1999 to 2010). The yearly DENV FoI varied markedly across time and serotypes (0–0.33), as did daily basic reproductive numbers (0.49–4.72). During specific time periods, the FoI fluctuations correlated across serotypes, indicating that different DENV serotypes shared common transmission drivers. The marked variation in transmission intensity that we detected indicates that intervention targets based on one-time estimates of the FoI could underestimate the level of effort needed to prevent disease. Our description of dengue virus transmission dynamics is unprecedented in detail, providing a basis for understanding the persistence of this rapidly emerging pathogen and improving disease prevention programs.","container-title":"Proceedings of the National Academy of Sciences","DOI":"10.1073/pnas.1314933111","ISSN":"0027-8424, 1091-6490","issue":"26","journalAbbreviation":"Proc. Natl. Acad. Sci. U.S.A.","language":"en","source":"DOI.org (Crossref)","title":"Time-varying, serotype-specific force of infection of dengue virus","URL":"https://pnas.org/doi/full/10.1073/pnas.1314933111","volume":"111","author":[{"family":"Reiner","given":"Robert C."},{"family":"Stoddard","given":"Steven T."},{"family":"Forshey","given":"Brett M."},{"family":"King","given":"Aaron A."},{"family":"Ellis","given":"Alicia M."},{"family":"Lloyd","given":"Alun L."},{"family":"Long","given":"Kanya C."},{"family":"Rocha","given":"Claudio"},{"family":"Vilcarromero","given":"Stalin"},{"family":"Astete","given":"Helvio"},{"family":"Bazan","given":"Isabel"},{"family":"Lenhart","given":"Audrey"},{"family":"Vazquez-Prokopec","given":"Gonzalo M."},{"family":"Paz-Soldan","given":"Valerie A."},{"family":"McCall","given":"Philip J."},{"family":"Kitron","given":"Uriel"},{"family":"Elder","given":"John P."},{"family":"Halsey","given":"Eric S."},{"family":"Morrison","given":"Amy C."},{"family":"Kochel","given":"Tadeusz J."},{"family":"Scott","given":"Thomas W."}],"accessed":{"date-parts":[["2023",8,21]]},"issued":{"date-parts":[["2014",7]]}}}],"schema":"https://github.com/citation-style-language/schema/raw/master/csl-citation.json"} </w:instrText>
      </w:r>
      <w:r w:rsidR="00267B2D"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(53,54)</w:t>
      </w:r>
      <w:r w:rsidR="00267B2D" w:rsidRPr="000A03F1">
        <w:rPr>
          <w:rFonts w:ascii="Times New Roman" w:hAnsi="Times New Roman" w:cs="Times New Roman"/>
          <w:sz w:val="24"/>
          <w:szCs w:val="24"/>
        </w:rPr>
        <w:fldChar w:fldCharType="end"/>
      </w:r>
      <w:r w:rsidRPr="000A03F1">
        <w:rPr>
          <w:rFonts w:ascii="Times New Roman" w:hAnsi="Times New Roman" w:cs="Times New Roman"/>
          <w:sz w:val="24"/>
          <w:szCs w:val="24"/>
        </w:rPr>
        <w:t>, complex heterologous immunity interplay</w:t>
      </w:r>
      <w:r w:rsidR="00A0224F" w:rsidRPr="000A03F1">
        <w:rPr>
          <w:rFonts w:ascii="Times New Roman" w:hAnsi="Times New Roman" w:cs="Times New Roman"/>
          <w:sz w:val="24"/>
          <w:szCs w:val="24"/>
        </w:rPr>
        <w:t xml:space="preserve"> </w:t>
      </w:r>
      <w:r w:rsidR="00A0224F"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{"citationID":"a20futoqk94","properties":{"formattedCitation":"(55)","plainCitation":"(55)","noteIndex":0},"citationItems":[{"id":125,"uris":["http://zotero.org/users/10607232/items/656CSS5R"],"itemData":{"id":125,"type":"article-journal","abstract":"Abstract\n            Dengue pathogenesis is extremely complex. Dengue infections are thought to induce life-long immunity from homologous challenges as well as a multi-factorial heterologous risk enhancement. Here, we use the data collected from a prospective cohort study of dengue infections in schoolchildren in Vietnam to disentangle how serotype interactions modulate clinical disease risk in the year following serum collection. We use multinomial logistic regression to correlate the yearly neutralizing antibody measurements obtained with each infecting serotype in all dengue clinical cases collected over the course of 6 years (2004–2009). This allowed us to extrapolate a fully discretised matrix of serotype interactions, revealing clear signals of increased risk of clinical illness in individuals primed with a previous dengue infection. The sequences of infections which produced a higher risk of dengue fever upon secondary infection are: DEN1 followed by DEN2; DEN1 followed by DEN4; DEN2 followed by DEN3; and DEN4 followed by DEN3. We also used this longitudinal data to train a machine learning algorithm on antibody titre differences between consecutive years to unveil asymptomatic dengue infections and estimate asymptomatic infection to clinical case ratios over time, allowing for a better characterisation of the population’s past exposure to different serotypes.","container-title":"Scientific Reports","DOI":"10.1038/s41598-019-45816-6","ISSN":"2045-2322","issue":"1","journalAbbreviation":"Sci Rep","language":"en","page":"9395","source":"DOI.org (Crossref)","title":"Cross-serotype interactions and disease outcome prediction of dengue infections in Vietnam","volume":"9","author":[{"family":"Aguas","given":"R."},{"family":"Dorigatti","given":"I."},{"family":"Coudeville","given":"L."},{"family":"Luxemburger","given":"C."},{"family":"Ferguson","given":"N. M."}],"issued":{"date-parts":[["2019",6,28]]}}}],"schema":"https://github.com/citation-style-language/schema/raw/master/csl-citation.json"} </w:instrText>
      </w:r>
      <w:r w:rsidR="00A0224F"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(55)</w:t>
      </w:r>
      <w:r w:rsidR="00A0224F"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and the varying </w:t>
      </w:r>
      <w:r w:rsidR="00823A08" w:rsidRPr="000A03F1">
        <w:rPr>
          <w:rFonts w:ascii="Times New Roman" w:hAnsi="Times New Roman" w:cs="Times New Roman"/>
          <w:sz w:val="24"/>
          <w:szCs w:val="24"/>
        </w:rPr>
        <w:t>VE</w:t>
      </w:r>
      <w:r w:rsidRPr="000A03F1">
        <w:rPr>
          <w:rFonts w:ascii="Times New Roman" w:hAnsi="Times New Roman" w:cs="Times New Roman"/>
          <w:sz w:val="24"/>
          <w:szCs w:val="24"/>
        </w:rPr>
        <w:t xml:space="preserve"> of dengue vaccines</w:t>
      </w:r>
      <w:r w:rsidR="00267B2D" w:rsidRPr="000A03F1">
        <w:rPr>
          <w:rFonts w:ascii="Times New Roman" w:hAnsi="Times New Roman" w:cs="Times New Roman"/>
          <w:sz w:val="24"/>
          <w:szCs w:val="24"/>
        </w:rPr>
        <w:t xml:space="preserve"> </w:t>
      </w:r>
      <w:r w:rsidR="00267B2D"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{"citationID":"a1hh5all0qf","properties":{"formattedCitation":"(25,26,44)","plainCitation":"(25,26,44)","noteIndex":0},"citationItems":[{"id":127,"uris":["http://zotero.org/users/10607232/items/VKGYAWYL"],"itemData":{"id":127,"type":"article-journal","abstract":"BACKGROUND A candidate tetravalent dengue vaccine is being assessed in three clinical trials involving more than 35,000 children between the ages of 2 and 16 years in Asian–Pacific and Latin American countries. We report the results of long-term follow-up interim analyses and integrated efficacy analyses.\nMETHODS We are assessing the incidence of hospitalization for virologically confirmed dengue as a surrogate safety end point during follow-up in years 3 to 6 of two phase 3 trials, CYD14 and CYD15, and a phase 2b trial, CYD23/57. We estimated vaccine efficacy using pooled data from the first 25 months of CYD14 and CYD15.\nRESULTS Follow-up data were available for 10,165 of 10,275 participants (99%) in CYD14 and 19,898 of 20,869 participants (95%) in CYD15. Data were available for 3203 of the 4002 participants (80%) in the CYD23 trial included in CYD57. During year 3 in the CYD14, CYD15, and CYD57 trials combined, hospitalization for virologically confirmed dengue occurred in 65 of 22,177 participants in the vaccine group and 39 of 11,089 participants in the control group. Pooled relative risks of hospitalization for dengue were 0.84 (95% confidence interval [CI], 0.56 to 1.24) among all participants, 1.58 (95% CI, 0.83 to 3.02) among those under the age of 9 years, and 0.50 (95% CI, 0.29 to 0.86) among those 9 years of age or older. During year 3, hospitalization for severe dengue, as defined by the independent data monitoring committee criteria, occurred in 18 of 22,177 participants in the vaccine group and 6 of 11,089 participants in the control group. Pooled rates of efficacy for symptomatic dengue during the first 25 months were 60.3% (95% CI, 55.7 to 64.5) for all participants, 65.6% (95% CI, 60.7 to 69.9) for those 9 years of age or older, and 44.6% (95% CI, 31.6 to 55.0) for those younger than 9 years of age. The authors’ full names, academic degrees, and affiliations are listed in the Appendix. Address reprint requests to Dr. Saville at Sanofi Pasteur, 2 Ave. Pont Pasteur, 69367 Lyon CEDEX 07, France, or at ­melanie.­saville@­sanofipasteur.­com. *A complete list of investigators in the CYD-TDV Dengue Vaccine Working Group is provided in the Supplementary Appendix, available at NEJM.org. This article was published on July 27, 2015, at NEJM.org. N Engl J Med 2015;373:1195-206. DOI: 10.1056/NEJMoa1506223 Copyright © 2015 Massachusetts Medical Society.\nCONCLUSIONS Although the unexplained higher incidence of hospitalization for dengue in year 3 among children younger than 9 years of age needs to be carefully monitored during long-term follow-up, the risk among children 2 to 16 years of age was lower in the vaccine group than in the control group. (Funded by Sanofi Pasteur; ClinicalTrials .gov numbers, NCT00842530, NCT01983553, NCT01373281, and NCT01374516.)","container-title":"New England Journal of Medicine","DOI":"10.1056/NEJMoa1506223","ISSN":"0028-4793, 1533-4406","issue":"13","journalAbbreviation":"N Engl J Med","language":"en","page":"1195-1206","source":"DOI.org (Crossref)","title":"Efficacy and Long-Term Safety of a Dengue Vaccine in Regions of Endemic Disease","volume":"373","author":[{"family":"Hadinegoro","given":"Sri Rezeki"},{"family":"Arredondo-García","given":"Jose Luis"},{"family":"Capeding","given":"Maria Rosario"},{"family":"Deseda","given":"Carmen"},{"family":"Chotpitayasunondh","given":"Tawee"},{"family":"Dietze","given":"Reynaldo"},{"family":"Hj Muhammad Ismail","given":"H.I."},{"family":"Reynales","given":"Humberto"},{"family":"Limkittikul","given":"Kriengsak"},{"family":"Rivera-Medina","given":"Doris Maribel"},{"family":"Tran","given":"Huu Ngoc"},{"family":"Bouckenooghe","given":"Alain"},{"family":"Chansinghakul","given":"Danaya"},{"family":"Cortés","given":"Margarita"},{"family":"Fanouillere","given":"Karen"},{"family":"Forrat","given":"Remi"},{"family":"Frago","given":"Carina"},{"family":"Gailhardou","given":"Sophia"},{"family":"Jackson","given":"Nicholas"},{"family":"Noriega","given":"Fernando"},{"family":"Plennevaux","given":"Eric"},{"family":"Wartel","given":"T. Anh"},{"family":"Zambrano","given":"Betzana"},{"family":"Saville","given":"Melanie"}],"issued":{"date-parts":[["2015",9,24]]}}},{"id":565,"uris":["http://zotero.org/users/10607232/items/IF9SV5SF"],"itemData":{"id":565,"type":"article-journal","abstract":"Abstract\n            CYD-TDV is the first licensed dengue vaccine for individuals 9–45 (or 60) years of age. Using 12% of the subjects enroled in phase-2b and phase-3 trials for which baseline serostatus was measured, the vaccine-induced protection against virologically confirmed dengue during active surveillance (0–25 months) was found to vary with prior exposure to dengue. Because age and dengue exposure are highly correlated in endemic settings, refined insight into how efficacy varies by serostatus and age is essential to understand the increased risk of hospitalisation observed among vaccinated individuals during the long-term follow-up and to develop safe and effective vaccination strategies. Here we apply machine learning to impute the baseline serostatus for subjects with post-dose 3 titres but missing baseline serostatus. We find evidence for age dependence in efficacy independent of serostatus and estimate that among 9–16 year olds, CYD-TDV is protective against serotypes 1, 3 and 4 regardless of baseline serostatus.","container-title":"Nature Communications","DOI":"10.1038/s41467-018-06006-6","ISSN":"2041-1723","issue":"1","journalAbbreviation":"Nat Commun","language":"en","page":"3644","source":"DOI.org (Crossref)","title":"Refined efficacy estimates of the Sanofi Pasteur dengue vaccine CYD-TDV using machine learning","volume":"9","author":[{"family":"Dorigatti","given":"I."},{"family":"Donnelly","given":"C. A."},{"family":"Laydon","given":"D. J."},{"family":"Small","given":"R."},{"family":"Jackson","given":"N."},{"family":"Coudeville","given":"L."},{"family":"Ferguson","given":"N. M."}],"issued":{"date-parts":[["2018",9,7]]}}},{"id":556,"uris":["http://zotero.org/users/10607232/items/RAJUJFLG"],"itemData":{"id":556,"type":"article-journal","abstract":"Background: 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schema":"https://github.com/citation-style-language/schema/raw/master/csl-citation.json"} </w:instrText>
      </w:r>
      <w:r w:rsidR="00267B2D"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(25,26,44)</w:t>
      </w:r>
      <w:r w:rsidR="00267B2D"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adds to the complexity of the </w:t>
      </w:r>
      <w:r w:rsidR="00314ECC" w:rsidRPr="000A03F1">
        <w:rPr>
          <w:rFonts w:ascii="Times New Roman" w:hAnsi="Times New Roman" w:cs="Times New Roman"/>
          <w:sz w:val="24"/>
          <w:szCs w:val="24"/>
        </w:rPr>
        <w:t>dengue disease transmission dynamics</w:t>
      </w:r>
      <w:r w:rsidRPr="000A03F1">
        <w:rPr>
          <w:rFonts w:ascii="Times New Roman" w:hAnsi="Times New Roman" w:cs="Times New Roman"/>
          <w:sz w:val="24"/>
          <w:szCs w:val="24"/>
        </w:rPr>
        <w:t xml:space="preserve"> </w:t>
      </w:r>
      <w:r w:rsidR="00314ECC" w:rsidRPr="000A03F1">
        <w:rPr>
          <w:rFonts w:ascii="Times New Roman" w:hAnsi="Times New Roman" w:cs="Times New Roman"/>
          <w:sz w:val="24"/>
          <w:szCs w:val="24"/>
        </w:rPr>
        <w:t xml:space="preserve">and our understanding </w:t>
      </w:r>
      <w:r w:rsidR="00657D8E" w:rsidRPr="000A03F1">
        <w:rPr>
          <w:rFonts w:ascii="Times New Roman" w:hAnsi="Times New Roman" w:cs="Times New Roman"/>
          <w:sz w:val="24"/>
          <w:szCs w:val="24"/>
        </w:rPr>
        <w:t>of</w:t>
      </w:r>
      <w:r w:rsidR="00314ECC" w:rsidRPr="000A03F1">
        <w:rPr>
          <w:rFonts w:ascii="Times New Roman" w:hAnsi="Times New Roman" w:cs="Times New Roman"/>
          <w:sz w:val="24"/>
          <w:szCs w:val="24"/>
        </w:rPr>
        <w:t xml:space="preserve"> immunity in dengue</w:t>
      </w:r>
      <w:r w:rsidRPr="000A03F1">
        <w:rPr>
          <w:rFonts w:ascii="Times New Roman" w:hAnsi="Times New Roman" w:cs="Times New Roman"/>
          <w:sz w:val="24"/>
          <w:szCs w:val="24"/>
        </w:rPr>
        <w:t xml:space="preserve">. </w:t>
      </w:r>
    </w:p>
    <w:p w14:paraId="06558F34" w14:textId="7DF2B006" w:rsidR="00651508" w:rsidRPr="000A03F1" w:rsidRDefault="007E5CED" w:rsidP="007E5CED">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Moreover, randomized controlled trial (RCT) data have highlighted significant differences in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vaccine efficacy among seronegative recipients. The highest efficacy was observed against DENV-2, followed by DENV-1, while efficacy against DENV-3 and DENV-4 was less </w:t>
      </w:r>
      <w:r w:rsidR="00314ECC" w:rsidRPr="000A03F1">
        <w:rPr>
          <w:rFonts w:ascii="Times New Roman" w:hAnsi="Times New Roman" w:cs="Times New Roman"/>
          <w:sz w:val="24"/>
          <w:szCs w:val="24"/>
        </w:rPr>
        <w:t>favourable</w:t>
      </w:r>
      <w:r w:rsidR="004A1165" w:rsidRPr="000A03F1">
        <w:rPr>
          <w:rFonts w:ascii="Times New Roman" w:hAnsi="Times New Roman" w:cs="Times New Roman"/>
          <w:sz w:val="24"/>
          <w:szCs w:val="24"/>
        </w:rPr>
        <w:t xml:space="preserve"> </w:t>
      </w:r>
      <w:r w:rsidR="004A1165" w:rsidRPr="000A03F1">
        <w:rPr>
          <w:rFonts w:ascii="Times New Roman" w:hAnsi="Times New Roman" w:cs="Times New Roman"/>
          <w:sz w:val="24"/>
          <w:szCs w:val="24"/>
        </w:rPr>
        <w:fldChar w:fldCharType="begin"/>
      </w:r>
      <w:r w:rsidR="004A1165" w:rsidRPr="000A03F1">
        <w:rPr>
          <w:rFonts w:ascii="Times New Roman" w:hAnsi="Times New Roman" w:cs="Times New Roman"/>
          <w:sz w:val="24"/>
          <w:szCs w:val="24"/>
        </w:rPr>
        <w:instrText xml:space="preserve"> ADDIN ZOTERO_ITEM CSL_CITATION {"citationID":"ai0cvm61gj","properties":{"formattedCitation":"(26)","plainCitation":"(26)","noteIndex":0},"citationItems":[{"id":556,"uris":["http://zotero.org/users/10607232/items/RAJUJFLG"],"itemData":{"id":556,"type":"article-journal","abstract":"Background: 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schema":"https://github.com/citation-style-language/schema/raw/master/csl-citation.json"} </w:instrText>
      </w:r>
      <w:r w:rsidR="004A1165" w:rsidRPr="000A03F1">
        <w:rPr>
          <w:rFonts w:ascii="Times New Roman" w:hAnsi="Times New Roman" w:cs="Times New Roman"/>
          <w:sz w:val="24"/>
          <w:szCs w:val="24"/>
        </w:rPr>
        <w:fldChar w:fldCharType="separate"/>
      </w:r>
      <w:r w:rsidR="004A1165" w:rsidRPr="000A03F1">
        <w:rPr>
          <w:rFonts w:ascii="Times New Roman" w:hAnsi="Times New Roman" w:cs="Times New Roman"/>
          <w:sz w:val="24"/>
          <w:szCs w:val="24"/>
        </w:rPr>
        <w:t>(26)</w:t>
      </w:r>
      <w:r w:rsidR="004A1165" w:rsidRPr="000A03F1">
        <w:rPr>
          <w:rFonts w:ascii="Times New Roman" w:hAnsi="Times New Roman" w:cs="Times New Roman"/>
          <w:sz w:val="24"/>
          <w:szCs w:val="24"/>
        </w:rPr>
        <w:fldChar w:fldCharType="end"/>
      </w:r>
      <w:r w:rsidRPr="000A03F1">
        <w:rPr>
          <w:rFonts w:ascii="Times New Roman" w:hAnsi="Times New Roman" w:cs="Times New Roman"/>
          <w:sz w:val="24"/>
          <w:szCs w:val="24"/>
        </w:rPr>
        <w:t>. Conversely, efficacy remained consistently high across all serotypes for seropositive recipients</w:t>
      </w:r>
      <w:r w:rsidR="004A1165" w:rsidRPr="000A03F1">
        <w:rPr>
          <w:rFonts w:ascii="Times New Roman" w:hAnsi="Times New Roman" w:cs="Times New Roman"/>
          <w:sz w:val="24"/>
          <w:szCs w:val="24"/>
        </w:rPr>
        <w:t xml:space="preserve"> </w:t>
      </w:r>
      <w:r w:rsidR="004A1165" w:rsidRPr="000A03F1">
        <w:rPr>
          <w:rFonts w:ascii="Times New Roman" w:hAnsi="Times New Roman" w:cs="Times New Roman"/>
          <w:sz w:val="24"/>
          <w:szCs w:val="24"/>
        </w:rPr>
        <w:fldChar w:fldCharType="begin"/>
      </w:r>
      <w:r w:rsidR="004A1165" w:rsidRPr="000A03F1">
        <w:rPr>
          <w:rFonts w:ascii="Times New Roman" w:hAnsi="Times New Roman" w:cs="Times New Roman"/>
          <w:sz w:val="24"/>
          <w:szCs w:val="24"/>
        </w:rPr>
        <w:instrText xml:space="preserve"> ADDIN ZOTERO_ITEM CSL_CITATION {"citationID":"ampd5qkgdb","properties":{"formattedCitation":"(26)","plainCitation":"(26)","noteIndex":0},"citationItems":[{"id":556,"uris":["http://zotero.org/users/10607232/items/RAJUJFLG"],"itemData":{"id":556,"type":"article-journal","abstract":"Background:  Takeda’s live attenuated tetravalent dengue vaccine candidate (TAK-003) is under evaluation in a long-term clinical trial across 8 dengue-endemic countries. Previously, we have reported its efficacy and safety in both seronegative and seropositive participants and that its performance varies by serotype, with some decline in efficacy from first to second year postvaccination. This exploratory analysis provides an update with cumulative and third-year data.\nMethods:  Healthy 4–16 year olds (n = 20 099) were randomized 2:1 to receive TAK-003 or placebo (0, 3 month schedule). The protocol included baseline serostatus testing of all participants and detection of all symptomatic dengue throughout the trial with a serotype specific reverse transcriptase-polymerase chain reaction.\nResults:  Cumulative efficacy after 3 years was 62.0% (95% confidence interval, 56.6–66.7) against virologically confirmed dengue (VCD) and 83.6% (76.8–88.4) against hospitalized VCD. Efficacy was 54.3% (41.9–64.1) against VCD and 77.1% (58.6–87.3) against hospitalized VCD in baseline seronegatives, and 65.0% (58.9–70.1) against VCD and 86.0% (78.4–91.0) against hospitalized VCD in baseline seropositives. Efficacy against VCD during the third year declined to 44.7% (32.5–54.7), whereas efficacy against hospitalized VCD was sustained at 70.8% (49.6–83.0). Rates of serious adverse events were 2.9% in TAK-003 group and 3.5% in placebo group during the ongoing long-term follow-up (ie, second half of the 3 years following vaccination), but none were related. No important safety risks were identified.\nConclusions:  TAK-003 was efficacious against symptomatic dengue over 3 years. Efficacy declined over time but remained robust against hospitalized dengue. A booster dose evaluation is planned. Clinical Trials Registration. NCT02747927.","container-title":"Clinical Infectious Diseases","DOI":"10.1093/cid/ciab864","ISSN":"1058-4838, 1537-6591","issue":"1","language":"en","page":"107-117","source":"DOI.org (Crossref)","title":"Three-year Efficacy and Safety of Takeda’s Dengue Vaccine Candidate (TAK-003)","volume":"75","author":[{"family":"Rivera","given":"Luis"},{"family":"Biswal","given":"Shibadas"},{"family":"Sáez-Llorens","given":"Xavier"},{"family":"Reynales","given":"Humberto"},{"family":"López-Medina","given":"Eduardo"},{"family":"Borja-Tabora","given":"Charissa"},{"family":"Bravo","given":"Lulu"},{"family":"Sirivichayakul","given":"Chukiat"},{"family":"Kosalaraksa","given":"Pope"},{"family":"Martinez Vargas","given":"Luis"},{"family":"Yu","given":"Delia"},{"family":"Watanaveeradej","given":"Veerachai"},{"family":"Espinoza","given":"Felix"},{"family":"Dietze","given":"Reynaldo"},{"family":"Fernando","given":"LakKumar"},{"family":"Wickramasinghe","given":"Pujitha"},{"family":"Duarte MoreiraJr","given":"Edson"},{"family":"Fernando","given":"Asvini D"},{"family":"Gunasekera","given":"Dulanie"},{"family":"Luz","given":"Kleber"},{"family":"Venâncioda Cunha","given":"Rivaldo"},{"family":"Rauscher","given":"Martina"},{"family":"Zent","given":"Olaf"},{"family":"Liu","given":"Mengya"},{"family":"Hoffman","given":"Elaine"},{"family":"LeFevre","given":"Inge"},{"family":"Tricou","given":"Vianney"},{"family":"Wallace","given":"Derek"},{"family":"Alera","given":"MariaTheresa"},{"family":"Borkowski","given":"Astrid"}],"issued":{"date-parts":[["2022",8,24]]}}}],"schema":"https://github.com/citation-style-language/schema/raw/master/csl-citation.json"} </w:instrText>
      </w:r>
      <w:r w:rsidR="004A1165" w:rsidRPr="000A03F1">
        <w:rPr>
          <w:rFonts w:ascii="Times New Roman" w:hAnsi="Times New Roman" w:cs="Times New Roman"/>
          <w:sz w:val="24"/>
          <w:szCs w:val="24"/>
        </w:rPr>
        <w:fldChar w:fldCharType="separate"/>
      </w:r>
      <w:r w:rsidR="004A1165" w:rsidRPr="000A03F1">
        <w:rPr>
          <w:rFonts w:ascii="Times New Roman" w:hAnsi="Times New Roman" w:cs="Times New Roman"/>
          <w:sz w:val="24"/>
          <w:szCs w:val="24"/>
        </w:rPr>
        <w:t>(26)</w:t>
      </w:r>
      <w:r w:rsidR="004A1165" w:rsidRPr="000A03F1">
        <w:rPr>
          <w:rFonts w:ascii="Times New Roman" w:hAnsi="Times New Roman" w:cs="Times New Roman"/>
          <w:sz w:val="24"/>
          <w:szCs w:val="24"/>
        </w:rPr>
        <w:fldChar w:fldCharType="end"/>
      </w:r>
      <w:r w:rsidRPr="000A03F1">
        <w:rPr>
          <w:rFonts w:ascii="Times New Roman" w:hAnsi="Times New Roman" w:cs="Times New Roman"/>
          <w:sz w:val="24"/>
          <w:szCs w:val="24"/>
        </w:rPr>
        <w:t xml:space="preserve">. As a result, considering a reduction in vaccine allocation to </w:t>
      </w:r>
      <w:r w:rsidRPr="000A03F1">
        <w:rPr>
          <w:rFonts w:ascii="Times New Roman" w:hAnsi="Times New Roman" w:cs="Times New Roman"/>
          <w:sz w:val="24"/>
          <w:szCs w:val="24"/>
        </w:rPr>
        <w:lastRenderedPageBreak/>
        <w:t>seronegative individuals might help minimi</w:t>
      </w:r>
      <w:r w:rsidR="00227E45" w:rsidRPr="000A03F1">
        <w:rPr>
          <w:rFonts w:ascii="Times New Roman" w:hAnsi="Times New Roman" w:cs="Times New Roman"/>
          <w:sz w:val="24"/>
          <w:szCs w:val="24"/>
        </w:rPr>
        <w:t>s</w:t>
      </w:r>
      <w:r w:rsidRPr="000A03F1">
        <w:rPr>
          <w:rFonts w:ascii="Times New Roman" w:hAnsi="Times New Roman" w:cs="Times New Roman"/>
          <w:sz w:val="24"/>
          <w:szCs w:val="24"/>
        </w:rPr>
        <w:t>e the risk of secondary-like DHF and counteract the negative efficacy against certain serotypes.</w:t>
      </w:r>
    </w:p>
    <w:p w14:paraId="53ADAF79" w14:textId="761ACA38" w:rsidR="00CE5A47" w:rsidRPr="000A03F1" w:rsidRDefault="00992F28" w:rsidP="00992F28">
      <w:pPr>
        <w:pStyle w:val="Heading2"/>
        <w:rPr>
          <w:rFonts w:ascii="Times New Roman" w:hAnsi="Times New Roman" w:cs="Times New Roman"/>
        </w:rPr>
      </w:pPr>
      <w:r w:rsidRPr="000A03F1">
        <w:rPr>
          <w:rFonts w:ascii="Times New Roman" w:hAnsi="Times New Roman" w:cs="Times New Roman"/>
        </w:rPr>
        <w:t>4.3. Limitation</w:t>
      </w:r>
    </w:p>
    <w:p w14:paraId="11B8B3DC" w14:textId="1A8AFC3A" w:rsidR="00136FEC" w:rsidRPr="000A03F1" w:rsidRDefault="00391965" w:rsidP="0026497C">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This study was subject to several limitations. </w:t>
      </w:r>
      <w:r w:rsidR="001253CC" w:rsidRPr="000A03F1">
        <w:rPr>
          <w:rFonts w:ascii="Times New Roman" w:hAnsi="Times New Roman" w:cs="Times New Roman"/>
          <w:sz w:val="24"/>
          <w:szCs w:val="24"/>
        </w:rPr>
        <w:t xml:space="preserve">First, </w:t>
      </w:r>
      <w:r w:rsidR="00CE5A47" w:rsidRPr="000A03F1">
        <w:rPr>
          <w:rFonts w:ascii="Times New Roman" w:hAnsi="Times New Roman" w:cs="Times New Roman"/>
          <w:sz w:val="24"/>
          <w:szCs w:val="24"/>
        </w:rPr>
        <w:t xml:space="preserve">Jakarta surveillance system data were limited only from January 2017 onwards; thus, the extended analyses of the disease's interannual dynamics and trends a few years or even decades in advance became limited. The availability of age-stratified reports over the years would allow analyses of the impact of the changing </w:t>
      </w:r>
      <w:r w:rsidR="00502CF3" w:rsidRPr="000A03F1">
        <w:rPr>
          <w:rFonts w:ascii="Times New Roman" w:hAnsi="Times New Roman" w:cs="Times New Roman"/>
          <w:sz w:val="24"/>
          <w:szCs w:val="24"/>
        </w:rPr>
        <w:t>transmission potential</w:t>
      </w:r>
      <w:r w:rsidR="00CE5A47" w:rsidRPr="000A03F1">
        <w:rPr>
          <w:rFonts w:ascii="Times New Roman" w:hAnsi="Times New Roman" w:cs="Times New Roman"/>
          <w:sz w:val="24"/>
          <w:szCs w:val="24"/>
        </w:rPr>
        <w:t xml:space="preserve"> on disease dynamics as well as improving the right parameters to be implemented in the fitted model.</w:t>
      </w:r>
      <w:r w:rsidR="00574D00" w:rsidRPr="000A03F1">
        <w:rPr>
          <w:rFonts w:ascii="Times New Roman" w:hAnsi="Times New Roman" w:cs="Times New Roman"/>
          <w:sz w:val="24"/>
          <w:szCs w:val="24"/>
        </w:rPr>
        <w:t xml:space="preserve"> </w:t>
      </w:r>
      <w:r w:rsidR="00B6563F" w:rsidRPr="000A03F1">
        <w:rPr>
          <w:rFonts w:ascii="Times New Roman" w:hAnsi="Times New Roman" w:cs="Times New Roman"/>
          <w:sz w:val="24"/>
          <w:szCs w:val="24"/>
        </w:rPr>
        <w:t xml:space="preserve">Secondly, </w:t>
      </w:r>
      <w:r w:rsidR="002316D8" w:rsidRPr="000A03F1">
        <w:rPr>
          <w:rFonts w:ascii="Times New Roman" w:hAnsi="Times New Roman" w:cs="Times New Roman"/>
          <w:sz w:val="24"/>
          <w:szCs w:val="24"/>
        </w:rPr>
        <w:t xml:space="preserve">up to the point where this manuscript is written, </w:t>
      </w:r>
      <w:r w:rsidR="00B6563F" w:rsidRPr="000A03F1">
        <w:rPr>
          <w:rFonts w:ascii="Times New Roman" w:hAnsi="Times New Roman" w:cs="Times New Roman"/>
          <w:sz w:val="24"/>
          <w:szCs w:val="24"/>
        </w:rPr>
        <w:t xml:space="preserve">no data regarding VE against dengue infection exists. </w:t>
      </w:r>
      <w:r w:rsidR="00B836DA" w:rsidRPr="000A03F1">
        <w:rPr>
          <w:rFonts w:ascii="Times New Roman" w:hAnsi="Times New Roman" w:cs="Times New Roman"/>
          <w:sz w:val="24"/>
          <w:szCs w:val="24"/>
        </w:rPr>
        <w:t xml:space="preserve">We </w:t>
      </w:r>
      <w:r w:rsidR="00136FEC" w:rsidRPr="000A03F1">
        <w:rPr>
          <w:rFonts w:ascii="Times New Roman" w:hAnsi="Times New Roman" w:cs="Times New Roman"/>
          <w:sz w:val="24"/>
          <w:szCs w:val="24"/>
        </w:rPr>
        <w:t xml:space="preserve">implemented the VE data against VCD as if it were against dengue infection to account for the </w:t>
      </w:r>
      <w:r w:rsidR="002316D8" w:rsidRPr="000A03F1">
        <w:rPr>
          <w:rFonts w:ascii="Times New Roman" w:hAnsi="Times New Roman" w:cs="Times New Roman"/>
          <w:sz w:val="24"/>
          <w:szCs w:val="24"/>
        </w:rPr>
        <w:t>changing of the circulating serotypes</w:t>
      </w:r>
      <w:r w:rsidR="00136FEC" w:rsidRPr="000A03F1">
        <w:rPr>
          <w:rFonts w:ascii="Times New Roman" w:hAnsi="Times New Roman" w:cs="Times New Roman"/>
          <w:sz w:val="24"/>
          <w:szCs w:val="24"/>
        </w:rPr>
        <w:t xml:space="preserve">. Although this approach was not ideal, this attempt </w:t>
      </w:r>
      <w:r w:rsidR="001253CC" w:rsidRPr="000A03F1">
        <w:rPr>
          <w:rFonts w:ascii="Times New Roman" w:hAnsi="Times New Roman" w:cs="Times New Roman"/>
          <w:sz w:val="24"/>
          <w:szCs w:val="24"/>
        </w:rPr>
        <w:t>may</w:t>
      </w:r>
      <w:r w:rsidR="00136FEC" w:rsidRPr="000A03F1">
        <w:rPr>
          <w:rFonts w:ascii="Times New Roman" w:hAnsi="Times New Roman" w:cs="Times New Roman"/>
          <w:sz w:val="24"/>
          <w:szCs w:val="24"/>
        </w:rPr>
        <w:t xml:space="preserve"> provide some insight </w:t>
      </w:r>
      <w:r w:rsidR="002316D8" w:rsidRPr="000A03F1">
        <w:rPr>
          <w:rFonts w:ascii="Times New Roman" w:hAnsi="Times New Roman" w:cs="Times New Roman"/>
          <w:sz w:val="24"/>
          <w:szCs w:val="24"/>
        </w:rPr>
        <w:t xml:space="preserve">on </w:t>
      </w:r>
      <w:r w:rsidR="00136FEC" w:rsidRPr="000A03F1">
        <w:rPr>
          <w:rFonts w:ascii="Times New Roman" w:hAnsi="Times New Roman" w:cs="Times New Roman"/>
          <w:sz w:val="24"/>
          <w:szCs w:val="24"/>
        </w:rPr>
        <w:t xml:space="preserve">how the proportion of the </w:t>
      </w:r>
      <w:r w:rsidR="00544735" w:rsidRPr="000A03F1">
        <w:rPr>
          <w:rFonts w:ascii="Times New Roman" w:hAnsi="Times New Roman" w:cs="Times New Roman"/>
          <w:sz w:val="24"/>
          <w:szCs w:val="24"/>
        </w:rPr>
        <w:t xml:space="preserve">existing </w:t>
      </w:r>
      <w:r w:rsidR="00136FEC" w:rsidRPr="000A03F1">
        <w:rPr>
          <w:rFonts w:ascii="Times New Roman" w:hAnsi="Times New Roman" w:cs="Times New Roman"/>
          <w:sz w:val="24"/>
          <w:szCs w:val="24"/>
        </w:rPr>
        <w:t xml:space="preserve">serotypes affects the public health outcome and vice versa, suggesting that </w:t>
      </w:r>
      <w:r w:rsidR="002316D8" w:rsidRPr="000A03F1">
        <w:rPr>
          <w:rFonts w:ascii="Times New Roman" w:hAnsi="Times New Roman" w:cs="Times New Roman"/>
          <w:sz w:val="24"/>
          <w:szCs w:val="24"/>
        </w:rPr>
        <w:t>heterogeneity of the DENV serotypes in a population, in addition to seroprevalence, might be an important factor to be considered before determining which and how vaccines should be implemented in a particular setting.</w:t>
      </w:r>
    </w:p>
    <w:p w14:paraId="54198871" w14:textId="323BAFA0" w:rsidR="00A92F40" w:rsidRPr="000A03F1" w:rsidRDefault="00A92F40" w:rsidP="00741A05">
      <w:pPr>
        <w:spacing w:line="480" w:lineRule="auto"/>
        <w:ind w:firstLine="720"/>
        <w:contextualSpacing/>
        <w:jc w:val="both"/>
        <w:rPr>
          <w:rFonts w:ascii="Times New Roman" w:hAnsi="Times New Roman" w:cs="Times New Roman"/>
          <w:sz w:val="24"/>
          <w:szCs w:val="24"/>
        </w:rPr>
      </w:pPr>
      <w:r w:rsidRPr="000A03F1">
        <w:rPr>
          <w:rFonts w:ascii="Times New Roman" w:hAnsi="Times New Roman" w:cs="Times New Roman"/>
          <w:sz w:val="24"/>
          <w:szCs w:val="24"/>
        </w:rPr>
        <w:t>Additionally, we attempted to just divide population into two instead of stratifying the population into several age groups. This would restrict the extended analysis on how seroprevalence varied between each age group. For example, 70% seroprevalence modelling in this work was the average seroprevalence of the age 0-14 years old</w:t>
      </w:r>
      <w:r w:rsidR="00C21E3C" w:rsidRPr="000A03F1">
        <w:rPr>
          <w:rFonts w:ascii="Times New Roman" w:hAnsi="Times New Roman" w:cs="Times New Roman"/>
          <w:sz w:val="24"/>
          <w:szCs w:val="24"/>
        </w:rPr>
        <w:t>.</w:t>
      </w:r>
      <w:r w:rsidR="00C5563B" w:rsidRPr="000A03F1">
        <w:rPr>
          <w:rFonts w:ascii="Times New Roman" w:hAnsi="Times New Roman" w:cs="Times New Roman"/>
          <w:sz w:val="24"/>
          <w:szCs w:val="24"/>
        </w:rPr>
        <w:t xml:space="preserve"> Meanwhile, age stratification </w:t>
      </w:r>
      <w:r w:rsidR="000164B6" w:rsidRPr="000A03F1">
        <w:rPr>
          <w:rFonts w:ascii="Times New Roman" w:hAnsi="Times New Roman" w:cs="Times New Roman"/>
          <w:sz w:val="24"/>
          <w:szCs w:val="24"/>
        </w:rPr>
        <w:t>may</w:t>
      </w:r>
      <w:r w:rsidR="00C5563B" w:rsidRPr="000A03F1">
        <w:rPr>
          <w:rFonts w:ascii="Times New Roman" w:hAnsi="Times New Roman" w:cs="Times New Roman"/>
          <w:sz w:val="24"/>
          <w:szCs w:val="24"/>
        </w:rPr>
        <w:t xml:space="preserve"> allow us to evaluate further </w:t>
      </w:r>
      <w:r w:rsidR="00E514C1" w:rsidRPr="000A03F1">
        <w:rPr>
          <w:rFonts w:ascii="Times New Roman" w:hAnsi="Times New Roman" w:cs="Times New Roman"/>
          <w:sz w:val="24"/>
          <w:szCs w:val="24"/>
        </w:rPr>
        <w:t xml:space="preserve">both direct and </w:t>
      </w:r>
      <w:r w:rsidR="00C5563B" w:rsidRPr="000A03F1">
        <w:rPr>
          <w:rFonts w:ascii="Times New Roman" w:hAnsi="Times New Roman" w:cs="Times New Roman"/>
          <w:sz w:val="24"/>
          <w:szCs w:val="24"/>
        </w:rPr>
        <w:t>indirect impact of the vaccination programme</w:t>
      </w:r>
      <w:r w:rsidR="00E514C1" w:rsidRPr="000A03F1">
        <w:rPr>
          <w:rFonts w:ascii="Times New Roman" w:hAnsi="Times New Roman" w:cs="Times New Roman"/>
          <w:sz w:val="24"/>
          <w:szCs w:val="24"/>
        </w:rPr>
        <w:t>,</w:t>
      </w:r>
      <w:r w:rsidR="0088795F" w:rsidRPr="000A03F1">
        <w:rPr>
          <w:rFonts w:ascii="Times New Roman" w:hAnsi="Times New Roman" w:cs="Times New Roman"/>
          <w:sz w:val="24"/>
          <w:szCs w:val="24"/>
        </w:rPr>
        <w:t xml:space="preserve"> thereby,</w:t>
      </w:r>
      <w:r w:rsidR="00E514C1" w:rsidRPr="000A03F1">
        <w:rPr>
          <w:rFonts w:ascii="Times New Roman" w:hAnsi="Times New Roman" w:cs="Times New Roman"/>
          <w:sz w:val="24"/>
          <w:szCs w:val="24"/>
        </w:rPr>
        <w:t xml:space="preserve"> increasing accuracy of the results</w:t>
      </w:r>
      <w:r w:rsidR="00CE1AB0" w:rsidRPr="000A03F1">
        <w:rPr>
          <w:rFonts w:ascii="Times New Roman" w:hAnsi="Times New Roman" w:cs="Times New Roman"/>
          <w:sz w:val="24"/>
          <w:szCs w:val="24"/>
        </w:rPr>
        <w:t xml:space="preserve"> </w:t>
      </w:r>
      <w:r w:rsidR="00CE1AB0" w:rsidRPr="000A03F1">
        <w:rPr>
          <w:rFonts w:ascii="Times New Roman" w:hAnsi="Times New Roman" w:cs="Times New Roman"/>
          <w:sz w:val="24"/>
          <w:szCs w:val="24"/>
        </w:rPr>
        <w:fldChar w:fldCharType="begin"/>
      </w:r>
      <w:r w:rsidR="00CE1AB0" w:rsidRPr="000A03F1">
        <w:rPr>
          <w:rFonts w:ascii="Times New Roman" w:hAnsi="Times New Roman" w:cs="Times New Roman"/>
          <w:sz w:val="24"/>
          <w:szCs w:val="24"/>
        </w:rPr>
        <w:instrText xml:space="preserve"> ADDIN ZOTERO_ITEM CSL_CITATION {"citationID":"a141bssp963","properties":{"formattedCitation":"(56)","plainCitation":"(56)","noteIndex":0},"citationItems":[{"id":618,"uris":["http://zotero.org/users/10607232/items/QFXNGF6J"],"itemData":{"id":618,"type":"article-journal","abstract":"Background: After vaccination, vaccinees acquire some protection against infection and/or disease. Vaccination, therefore, reduces the number of infections in the population. Due to this herd protection, not everybody needs to be vaccinated to prevent infections from spreading.\nMethods: We quantify direct and indirect effects of influenza vaccination examining the standard SusceptibleInfected-Recovered (SIR) and Susceptible-Infected-Recovered-Susceptible (SIRS) model as well as simulation results of a sophisticated simulation tool which allows for seasonal transmission of four influenza strains in a population with realistic demography and age-dependent contact patterns.\nResults: As shown analytically for the simple SIR and SIRS transmission models, indirect vaccination effects are bigger than direct ones if the effective reproduction number of disease transmission is close to the critical value of 1. Simulation results for 20–60% vaccination with live influenza vaccine of 2–17 year old children in Germany, averaged over 10 years (2017–26), confirm this result: four to seven times as many influenza cases are prevented among non-vaccinated individuals as among vaccinees. For complications like death due to influenza which occur much more frequently in the unvaccinated elderly than in the vaccination target group of children, indirect benefits can surpass direct ones by a factor of 20 or even more than 30.\nConclusions: The true effect of vaccination can be much bigger than what would be expected by only looking at vaccination coverage and vaccine efficacy.","container-title":"BMC Infectious Diseases","DOI":"10.1186/s12879-017-2399-4","ISSN":"1471-2334","issue":"1","journalAbbreviation":"BMC Infect Dis","language":"en","page":"308","source":"DOI.org (Crossref)","title":"Direct and indirect effects of influenza vaccination","volume":"17","author":[{"family":"Eichner","given":"Martin"},{"family":"Schwehm","given":"Markus"},{"family":"Eichner","given":"Linda"},{"family":"Gerlier","given":"Laetitia"}],"issued":{"date-parts":[["2017",12]]}}}],"schema":"https://github.com/citation-style-language/schema/raw/master/csl-citation.json"} </w:instrText>
      </w:r>
      <w:r w:rsidR="00CE1AB0" w:rsidRPr="000A03F1">
        <w:rPr>
          <w:rFonts w:ascii="Times New Roman" w:hAnsi="Times New Roman" w:cs="Times New Roman"/>
          <w:sz w:val="24"/>
          <w:szCs w:val="24"/>
        </w:rPr>
        <w:fldChar w:fldCharType="separate"/>
      </w:r>
      <w:r w:rsidR="00CE1AB0" w:rsidRPr="000A03F1">
        <w:rPr>
          <w:rFonts w:ascii="Times New Roman" w:hAnsi="Times New Roman" w:cs="Times New Roman"/>
          <w:sz w:val="24"/>
          <w:szCs w:val="24"/>
        </w:rPr>
        <w:t>(56)</w:t>
      </w:r>
      <w:r w:rsidR="00CE1AB0" w:rsidRPr="000A03F1">
        <w:rPr>
          <w:rFonts w:ascii="Times New Roman" w:hAnsi="Times New Roman" w:cs="Times New Roman"/>
          <w:sz w:val="24"/>
          <w:szCs w:val="24"/>
        </w:rPr>
        <w:fldChar w:fldCharType="end"/>
      </w:r>
      <w:r w:rsidR="00E514C1" w:rsidRPr="000A03F1">
        <w:rPr>
          <w:rFonts w:ascii="Times New Roman" w:hAnsi="Times New Roman" w:cs="Times New Roman"/>
          <w:sz w:val="24"/>
          <w:szCs w:val="24"/>
        </w:rPr>
        <w:t xml:space="preserve">. </w:t>
      </w:r>
    </w:p>
    <w:p w14:paraId="4E86AB15" w14:textId="6136FD41" w:rsidR="00CE5A47" w:rsidRPr="000A03F1" w:rsidRDefault="004A0EE4" w:rsidP="004A0EE4">
      <w:pPr>
        <w:pStyle w:val="Heading2"/>
        <w:rPr>
          <w:rFonts w:ascii="Times New Roman" w:hAnsi="Times New Roman" w:cs="Times New Roman"/>
        </w:rPr>
      </w:pPr>
      <w:r w:rsidRPr="000A03F1">
        <w:rPr>
          <w:rFonts w:ascii="Times New Roman" w:hAnsi="Times New Roman" w:cs="Times New Roman"/>
        </w:rPr>
        <w:lastRenderedPageBreak/>
        <w:t>4.4. Conclusion</w:t>
      </w:r>
    </w:p>
    <w:p w14:paraId="1F5E2331" w14:textId="471E2315" w:rsidR="00CE5A47" w:rsidRPr="000A03F1" w:rsidRDefault="003A3DCD"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I</w:t>
      </w:r>
      <w:r w:rsidR="00B17C23" w:rsidRPr="000A03F1">
        <w:rPr>
          <w:rFonts w:ascii="Times New Roman" w:hAnsi="Times New Roman" w:cs="Times New Roman"/>
          <w:sz w:val="24"/>
          <w:szCs w:val="24"/>
        </w:rPr>
        <w:t>n high dengue transmission settings,</w:t>
      </w:r>
      <w:r w:rsidRPr="000A03F1">
        <w:rPr>
          <w:rFonts w:ascii="Times New Roman" w:hAnsi="Times New Roman" w:cs="Times New Roman"/>
          <w:sz w:val="24"/>
          <w:szCs w:val="24"/>
        </w:rPr>
        <w:t xml:space="preserve"> </w:t>
      </w:r>
      <w:r w:rsidR="00CA6B29" w:rsidRPr="000A03F1">
        <w:rPr>
          <w:rFonts w:ascii="Times New Roman" w:hAnsi="Times New Roman" w:cs="Times New Roman"/>
          <w:sz w:val="24"/>
          <w:szCs w:val="24"/>
        </w:rPr>
        <w:t xml:space="preserve">such as in Jakarta, </w:t>
      </w:r>
      <w:r w:rsidR="00B17C23" w:rsidRPr="000A03F1">
        <w:rPr>
          <w:rFonts w:ascii="Times New Roman" w:hAnsi="Times New Roman" w:cs="Times New Roman"/>
          <w:sz w:val="24"/>
          <w:szCs w:val="24"/>
        </w:rPr>
        <w:t xml:space="preserve">it </w:t>
      </w:r>
      <w:r w:rsidRPr="000A03F1">
        <w:rPr>
          <w:rFonts w:ascii="Times New Roman" w:hAnsi="Times New Roman" w:cs="Times New Roman"/>
          <w:sz w:val="24"/>
          <w:szCs w:val="24"/>
        </w:rPr>
        <w:t xml:space="preserve">may be useful to consider </w:t>
      </w:r>
      <w:r w:rsidR="00DE2E19" w:rsidRPr="000A03F1">
        <w:rPr>
          <w:rFonts w:ascii="Times New Roman" w:hAnsi="Times New Roman" w:cs="Times New Roman"/>
          <w:sz w:val="24"/>
          <w:szCs w:val="24"/>
        </w:rPr>
        <w:t>p</w:t>
      </w:r>
      <w:r w:rsidR="00CE5A47" w:rsidRPr="000A03F1">
        <w:rPr>
          <w:rFonts w:ascii="Times New Roman" w:hAnsi="Times New Roman" w:cs="Times New Roman"/>
          <w:sz w:val="24"/>
          <w:szCs w:val="24"/>
        </w:rPr>
        <w:t xml:space="preserve">re-vaccination screening </w:t>
      </w:r>
      <w:r w:rsidRPr="000A03F1">
        <w:rPr>
          <w:rFonts w:ascii="Times New Roman" w:hAnsi="Times New Roman" w:cs="Times New Roman"/>
          <w:sz w:val="24"/>
          <w:szCs w:val="24"/>
        </w:rPr>
        <w:t xml:space="preserve">to be implemented prior to receiving </w:t>
      </w:r>
      <w:proofErr w:type="spellStart"/>
      <w:r w:rsidRPr="000A03F1">
        <w:rPr>
          <w:rFonts w:ascii="Times New Roman" w:hAnsi="Times New Roman" w:cs="Times New Roman"/>
          <w:sz w:val="24"/>
          <w:szCs w:val="24"/>
        </w:rPr>
        <w:t>Dengvaxia</w:t>
      </w:r>
      <w:proofErr w:type="spellEnd"/>
      <w:r w:rsidRPr="000A03F1">
        <w:rPr>
          <w:rFonts w:ascii="Times New Roman" w:hAnsi="Times New Roman" w:cs="Times New Roman"/>
          <w:sz w:val="24"/>
          <w:szCs w:val="24"/>
        </w:rPr>
        <w:t xml:space="preserve"> or </w:t>
      </w:r>
      <w:proofErr w:type="spellStart"/>
      <w:r w:rsidRPr="000A03F1">
        <w:rPr>
          <w:rFonts w:ascii="Times New Roman" w:hAnsi="Times New Roman" w:cs="Times New Roman"/>
          <w:sz w:val="24"/>
          <w:szCs w:val="24"/>
        </w:rPr>
        <w:t>Qdenga</w:t>
      </w:r>
      <w:proofErr w:type="spellEnd"/>
      <w:r w:rsidRPr="000A03F1">
        <w:rPr>
          <w:rFonts w:ascii="Times New Roman" w:hAnsi="Times New Roman" w:cs="Times New Roman"/>
          <w:sz w:val="24"/>
          <w:szCs w:val="24"/>
        </w:rPr>
        <w:t xml:space="preserve"> vaccines.</w:t>
      </w:r>
      <w:r w:rsidR="00CE5A47" w:rsidRPr="000A03F1">
        <w:rPr>
          <w:rFonts w:ascii="Times New Roman" w:hAnsi="Times New Roman" w:cs="Times New Roman"/>
          <w:sz w:val="24"/>
          <w:szCs w:val="24"/>
        </w:rPr>
        <w:t xml:space="preserve"> </w:t>
      </w:r>
      <w:r w:rsidRPr="000A03F1">
        <w:rPr>
          <w:rFonts w:ascii="Times New Roman" w:hAnsi="Times New Roman" w:cs="Times New Roman"/>
          <w:sz w:val="24"/>
          <w:szCs w:val="24"/>
        </w:rPr>
        <w:t>It</w:t>
      </w:r>
      <w:r w:rsidR="00CE5A47" w:rsidRPr="000A03F1">
        <w:rPr>
          <w:rFonts w:ascii="Times New Roman" w:hAnsi="Times New Roman" w:cs="Times New Roman"/>
          <w:sz w:val="24"/>
          <w:szCs w:val="24"/>
        </w:rPr>
        <w:t xml:space="preserve"> may act to </w:t>
      </w:r>
      <w:r w:rsidR="00BB07DE" w:rsidRPr="000A03F1">
        <w:rPr>
          <w:rFonts w:ascii="Times New Roman" w:hAnsi="Times New Roman" w:cs="Times New Roman"/>
          <w:sz w:val="24"/>
          <w:szCs w:val="24"/>
        </w:rPr>
        <w:t>improve</w:t>
      </w:r>
      <w:r w:rsidR="00CE5A47" w:rsidRPr="000A03F1">
        <w:rPr>
          <w:rFonts w:ascii="Times New Roman" w:hAnsi="Times New Roman" w:cs="Times New Roman"/>
          <w:sz w:val="24"/>
          <w:szCs w:val="24"/>
        </w:rPr>
        <w:t xml:space="preserve"> </w:t>
      </w:r>
      <w:r w:rsidR="009D4A1C" w:rsidRPr="000A03F1">
        <w:rPr>
          <w:rFonts w:ascii="Times New Roman" w:hAnsi="Times New Roman" w:cs="Times New Roman"/>
          <w:sz w:val="24"/>
          <w:szCs w:val="24"/>
        </w:rPr>
        <w:t>vaccination impact</w:t>
      </w:r>
      <w:r w:rsidR="00CE5A47" w:rsidRPr="000A03F1">
        <w:rPr>
          <w:rFonts w:ascii="Times New Roman" w:hAnsi="Times New Roman" w:cs="Times New Roman"/>
          <w:sz w:val="24"/>
          <w:szCs w:val="24"/>
        </w:rPr>
        <w:t xml:space="preserve"> by reducing the risk of severe dengue from ADE, particularly in seronegative individuals</w:t>
      </w:r>
      <w:r w:rsidR="004B7F37" w:rsidRPr="000A03F1">
        <w:rPr>
          <w:rFonts w:ascii="Times New Roman" w:hAnsi="Times New Roman" w:cs="Times New Roman"/>
          <w:sz w:val="24"/>
          <w:szCs w:val="24"/>
        </w:rPr>
        <w:t>,</w:t>
      </w:r>
      <w:r w:rsidR="008149EE" w:rsidRPr="000A03F1">
        <w:rPr>
          <w:rFonts w:ascii="Times New Roman" w:hAnsi="Times New Roman" w:cs="Times New Roman"/>
          <w:sz w:val="24"/>
          <w:szCs w:val="24"/>
        </w:rPr>
        <w:t xml:space="preserve"> and </w:t>
      </w:r>
      <w:r w:rsidR="00CE5A47" w:rsidRPr="000A03F1">
        <w:rPr>
          <w:rFonts w:ascii="Times New Roman" w:hAnsi="Times New Roman" w:cs="Times New Roman"/>
          <w:sz w:val="24"/>
          <w:szCs w:val="24"/>
        </w:rPr>
        <w:t xml:space="preserve">prioritising seropositive individuals can optimise </w:t>
      </w:r>
      <w:r w:rsidR="00FC4B2A" w:rsidRPr="000A03F1">
        <w:rPr>
          <w:rFonts w:ascii="Times New Roman" w:hAnsi="Times New Roman" w:cs="Times New Roman"/>
          <w:sz w:val="24"/>
          <w:szCs w:val="24"/>
        </w:rPr>
        <w:t>the public health impact</w:t>
      </w:r>
      <w:r w:rsidR="00D62AE3" w:rsidRPr="000A03F1">
        <w:rPr>
          <w:rFonts w:ascii="Times New Roman" w:hAnsi="Times New Roman" w:cs="Times New Roman"/>
          <w:sz w:val="24"/>
          <w:szCs w:val="24"/>
        </w:rPr>
        <w:t xml:space="preserve"> through reduction of DHF cases</w:t>
      </w:r>
      <w:r w:rsidR="00B65444" w:rsidRPr="000A03F1">
        <w:rPr>
          <w:rFonts w:ascii="Times New Roman" w:hAnsi="Times New Roman" w:cs="Times New Roman"/>
          <w:sz w:val="24"/>
          <w:szCs w:val="24"/>
        </w:rPr>
        <w:t xml:space="preserve">. </w:t>
      </w:r>
      <w:r w:rsidR="00CE5A47" w:rsidRPr="000A03F1">
        <w:rPr>
          <w:rFonts w:ascii="Times New Roman" w:hAnsi="Times New Roman" w:cs="Times New Roman"/>
          <w:sz w:val="24"/>
          <w:szCs w:val="24"/>
        </w:rPr>
        <w:t xml:space="preserve">However, economic evaluation is </w:t>
      </w:r>
      <w:r w:rsidR="007E6B8E" w:rsidRPr="000A03F1">
        <w:rPr>
          <w:rFonts w:ascii="Times New Roman" w:hAnsi="Times New Roman" w:cs="Times New Roman"/>
          <w:sz w:val="24"/>
          <w:szCs w:val="24"/>
        </w:rPr>
        <w:t>recommended</w:t>
      </w:r>
      <w:r w:rsidR="00CE5A47" w:rsidRPr="000A03F1">
        <w:rPr>
          <w:rFonts w:ascii="Times New Roman" w:hAnsi="Times New Roman" w:cs="Times New Roman"/>
          <w:sz w:val="24"/>
          <w:szCs w:val="24"/>
        </w:rPr>
        <w:t xml:space="preserve"> for resource-constrained vaccination </w:t>
      </w:r>
      <w:r w:rsidR="000E3DEB" w:rsidRPr="000A03F1">
        <w:rPr>
          <w:rFonts w:ascii="Times New Roman" w:hAnsi="Times New Roman" w:cs="Times New Roman"/>
          <w:sz w:val="24"/>
          <w:szCs w:val="24"/>
        </w:rPr>
        <w:t>programme</w:t>
      </w:r>
      <w:r w:rsidR="00CE5A47" w:rsidRPr="000A03F1">
        <w:rPr>
          <w:rFonts w:ascii="Times New Roman" w:hAnsi="Times New Roman" w:cs="Times New Roman"/>
          <w:sz w:val="24"/>
          <w:szCs w:val="24"/>
        </w:rPr>
        <w:t>s that incorporate pre-vaccination screening.</w:t>
      </w:r>
      <w:r w:rsidR="00AB5122" w:rsidRPr="000A03F1">
        <w:rPr>
          <w:rFonts w:ascii="Times New Roman" w:hAnsi="Times New Roman" w:cs="Times New Roman"/>
          <w:sz w:val="24"/>
          <w:szCs w:val="24"/>
        </w:rPr>
        <w:t xml:space="preserve"> </w:t>
      </w:r>
      <w:r w:rsidR="008F3220" w:rsidRPr="000A03F1">
        <w:rPr>
          <w:rFonts w:ascii="Times New Roman" w:hAnsi="Times New Roman" w:cs="Times New Roman"/>
          <w:sz w:val="24"/>
          <w:szCs w:val="24"/>
        </w:rPr>
        <w:t xml:space="preserve">Future models that account for more detailed immune and climate variables </w:t>
      </w:r>
      <w:r w:rsidR="00763FDF" w:rsidRPr="000A03F1">
        <w:rPr>
          <w:rFonts w:ascii="Times New Roman" w:hAnsi="Times New Roman" w:cs="Times New Roman"/>
          <w:sz w:val="24"/>
          <w:szCs w:val="24"/>
        </w:rPr>
        <w:t xml:space="preserve">as well as more extensive age stratification </w:t>
      </w:r>
      <w:r w:rsidR="008F3220" w:rsidRPr="000A03F1">
        <w:rPr>
          <w:rFonts w:ascii="Times New Roman" w:hAnsi="Times New Roman" w:cs="Times New Roman"/>
          <w:sz w:val="24"/>
          <w:szCs w:val="24"/>
        </w:rPr>
        <w:t>are recommended, as they can also help</w:t>
      </w:r>
      <w:r w:rsidR="00BD4751" w:rsidRPr="000A03F1">
        <w:rPr>
          <w:rFonts w:ascii="Times New Roman" w:hAnsi="Times New Roman" w:cs="Times New Roman"/>
          <w:sz w:val="24"/>
          <w:szCs w:val="24"/>
        </w:rPr>
        <w:t xml:space="preserve"> to</w:t>
      </w:r>
      <w:r w:rsidR="008F3220" w:rsidRPr="000A03F1">
        <w:rPr>
          <w:rFonts w:ascii="Times New Roman" w:hAnsi="Times New Roman" w:cs="Times New Roman"/>
          <w:sz w:val="24"/>
          <w:szCs w:val="24"/>
        </w:rPr>
        <w:t xml:space="preserve"> </w:t>
      </w:r>
      <w:r w:rsidR="006059BE" w:rsidRPr="000A03F1">
        <w:rPr>
          <w:rFonts w:ascii="Times New Roman" w:hAnsi="Times New Roman" w:cs="Times New Roman"/>
          <w:sz w:val="24"/>
          <w:szCs w:val="24"/>
        </w:rPr>
        <w:t>address some</w:t>
      </w:r>
      <w:r w:rsidR="008F3220" w:rsidRPr="000A03F1">
        <w:rPr>
          <w:rFonts w:ascii="Times New Roman" w:hAnsi="Times New Roman" w:cs="Times New Roman"/>
          <w:sz w:val="24"/>
          <w:szCs w:val="24"/>
        </w:rPr>
        <w:t xml:space="preserve"> aspects that were not covered in this work.</w:t>
      </w:r>
    </w:p>
    <w:p w14:paraId="705A6AE0" w14:textId="0E3C90E7" w:rsidR="00A00385" w:rsidRPr="000A03F1" w:rsidRDefault="00A00385" w:rsidP="002A0D19">
      <w:pPr>
        <w:pStyle w:val="Heading1"/>
        <w:spacing w:line="480" w:lineRule="auto"/>
        <w:jc w:val="both"/>
        <w:rPr>
          <w:rFonts w:ascii="Times New Roman" w:hAnsi="Times New Roman" w:cs="Times New Roman"/>
          <w:szCs w:val="24"/>
        </w:rPr>
      </w:pPr>
      <w:r w:rsidRPr="000A03F1">
        <w:rPr>
          <w:rFonts w:ascii="Times New Roman" w:hAnsi="Times New Roman" w:cs="Times New Roman"/>
          <w:szCs w:val="24"/>
        </w:rPr>
        <w:t>5. Supplementary Information</w:t>
      </w:r>
    </w:p>
    <w:p w14:paraId="719AF63F" w14:textId="00B4B52B" w:rsidR="00A00385" w:rsidRPr="000A03F1" w:rsidRDefault="00A00385" w:rsidP="002A0D19">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All supplementary materials referenced throughout this report are attached as an additional file.</w:t>
      </w:r>
    </w:p>
    <w:p w14:paraId="4E6EE6EE" w14:textId="41ED37C6" w:rsidR="000B6AC8" w:rsidRPr="000A03F1" w:rsidRDefault="00CA02BF" w:rsidP="002A0D19">
      <w:pPr>
        <w:pStyle w:val="Heading2"/>
        <w:jc w:val="both"/>
        <w:rPr>
          <w:rFonts w:ascii="Times New Roman" w:hAnsi="Times New Roman" w:cs="Times New Roman"/>
        </w:rPr>
      </w:pPr>
      <w:r w:rsidRPr="000A03F1">
        <w:rPr>
          <w:rFonts w:ascii="Times New Roman" w:hAnsi="Times New Roman" w:cs="Times New Roman"/>
        </w:rPr>
        <w:t>5.1. Author Contributions</w:t>
      </w:r>
    </w:p>
    <w:p w14:paraId="41921EB8" w14:textId="603C187D"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Conceptualisation: Nando Reza Pratama, Hannah </w:t>
      </w:r>
      <w:r w:rsidR="003738E3" w:rsidRPr="000A03F1">
        <w:rPr>
          <w:rFonts w:ascii="Times New Roman" w:hAnsi="Times New Roman" w:cs="Times New Roman"/>
          <w:sz w:val="24"/>
          <w:szCs w:val="24"/>
        </w:rPr>
        <w:t xml:space="preserve">Eleanor </w:t>
      </w:r>
      <w:r w:rsidRPr="000A03F1">
        <w:rPr>
          <w:rFonts w:ascii="Times New Roman" w:hAnsi="Times New Roman" w:cs="Times New Roman"/>
          <w:sz w:val="24"/>
          <w:szCs w:val="24"/>
        </w:rPr>
        <w:t>Clapham</w:t>
      </w:r>
    </w:p>
    <w:p w14:paraId="1DB1456C" w14:textId="751B6F39"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Formal Analysis: Nando Reza Pratama</w:t>
      </w:r>
    </w:p>
    <w:p w14:paraId="34C10C23" w14:textId="5259F07D"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Methodology: Nando Reza Pratama, Hannah </w:t>
      </w:r>
      <w:r w:rsidR="003738E3" w:rsidRPr="000A03F1">
        <w:rPr>
          <w:rFonts w:ascii="Times New Roman" w:hAnsi="Times New Roman" w:cs="Times New Roman"/>
          <w:sz w:val="24"/>
          <w:szCs w:val="24"/>
        </w:rPr>
        <w:t>Eleanor</w:t>
      </w:r>
      <w:r w:rsidRPr="000A03F1">
        <w:rPr>
          <w:rFonts w:ascii="Times New Roman" w:hAnsi="Times New Roman" w:cs="Times New Roman"/>
          <w:sz w:val="24"/>
          <w:szCs w:val="24"/>
        </w:rPr>
        <w:t xml:space="preserve"> Clapham</w:t>
      </w:r>
    </w:p>
    <w:p w14:paraId="6CFB74A0" w14:textId="4BCDE8F6"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Supervision: Hannah </w:t>
      </w:r>
      <w:r w:rsidR="003738E3" w:rsidRPr="000A03F1">
        <w:rPr>
          <w:rFonts w:ascii="Times New Roman" w:hAnsi="Times New Roman" w:cs="Times New Roman"/>
          <w:sz w:val="24"/>
          <w:szCs w:val="24"/>
        </w:rPr>
        <w:t>Eleanor</w:t>
      </w:r>
      <w:r w:rsidRPr="000A03F1">
        <w:rPr>
          <w:rFonts w:ascii="Times New Roman" w:hAnsi="Times New Roman" w:cs="Times New Roman"/>
          <w:sz w:val="24"/>
          <w:szCs w:val="24"/>
        </w:rPr>
        <w:t xml:space="preserve"> Clapham</w:t>
      </w:r>
    </w:p>
    <w:p w14:paraId="05B61D22" w14:textId="77777777"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Writing – original draft: Nando Reza Pratama</w:t>
      </w:r>
    </w:p>
    <w:p w14:paraId="36885055" w14:textId="410D27CD"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 xml:space="preserve">Writing – review &amp; editing: Nando Reza Pratama, Hannah </w:t>
      </w:r>
      <w:r w:rsidR="003738E3" w:rsidRPr="000A03F1">
        <w:rPr>
          <w:rFonts w:ascii="Times New Roman" w:hAnsi="Times New Roman" w:cs="Times New Roman"/>
          <w:sz w:val="24"/>
          <w:szCs w:val="24"/>
        </w:rPr>
        <w:t>Eleanor</w:t>
      </w:r>
      <w:r w:rsidRPr="000A03F1">
        <w:rPr>
          <w:rFonts w:ascii="Times New Roman" w:hAnsi="Times New Roman" w:cs="Times New Roman"/>
          <w:sz w:val="24"/>
          <w:szCs w:val="24"/>
        </w:rPr>
        <w:t xml:space="preserve"> Clapham</w:t>
      </w:r>
    </w:p>
    <w:p w14:paraId="632AD9E3" w14:textId="043114AF" w:rsidR="000B6AC8" w:rsidRPr="000A03F1" w:rsidRDefault="0076508D" w:rsidP="002A0D19">
      <w:pPr>
        <w:pStyle w:val="Heading2"/>
        <w:jc w:val="both"/>
        <w:rPr>
          <w:rFonts w:ascii="Times New Roman" w:hAnsi="Times New Roman" w:cs="Times New Roman"/>
        </w:rPr>
      </w:pPr>
      <w:r w:rsidRPr="000A03F1">
        <w:rPr>
          <w:rFonts w:ascii="Times New Roman" w:hAnsi="Times New Roman" w:cs="Times New Roman"/>
        </w:rPr>
        <w:t>5.2. Competing Interest</w:t>
      </w:r>
    </w:p>
    <w:p w14:paraId="569061A3" w14:textId="77777777" w:rsidR="000B6AC8" w:rsidRPr="000A03F1" w:rsidRDefault="000B6AC8" w:rsidP="002A0D19">
      <w:pPr>
        <w:spacing w:line="480" w:lineRule="auto"/>
        <w:contextualSpacing/>
        <w:jc w:val="both"/>
        <w:rPr>
          <w:rFonts w:ascii="Times New Roman" w:hAnsi="Times New Roman" w:cs="Times New Roman"/>
          <w:sz w:val="24"/>
          <w:szCs w:val="24"/>
        </w:rPr>
      </w:pPr>
      <w:r w:rsidRPr="000A03F1">
        <w:rPr>
          <w:rFonts w:ascii="Times New Roman" w:hAnsi="Times New Roman" w:cs="Times New Roman"/>
          <w:sz w:val="24"/>
          <w:szCs w:val="24"/>
        </w:rPr>
        <w:t>The author declares that no competing interests exist.</w:t>
      </w:r>
    </w:p>
    <w:p w14:paraId="6D59678D" w14:textId="65E6B989" w:rsidR="000B6AC8" w:rsidRPr="000A03F1" w:rsidRDefault="002A0E03" w:rsidP="002A0D19">
      <w:pPr>
        <w:pStyle w:val="Heading2"/>
        <w:spacing w:line="480" w:lineRule="auto"/>
        <w:jc w:val="both"/>
        <w:rPr>
          <w:rFonts w:ascii="Times New Roman" w:hAnsi="Times New Roman" w:cs="Times New Roman"/>
        </w:rPr>
      </w:pPr>
      <w:r w:rsidRPr="000A03F1">
        <w:rPr>
          <w:rFonts w:ascii="Times New Roman" w:hAnsi="Times New Roman" w:cs="Times New Roman"/>
        </w:rPr>
        <w:lastRenderedPageBreak/>
        <w:t>5.3. Financial Disclosure</w:t>
      </w:r>
    </w:p>
    <w:p w14:paraId="40490498" w14:textId="30D82A6A" w:rsidR="00144D32" w:rsidRPr="000A03F1" w:rsidRDefault="00041F81" w:rsidP="002A0D19">
      <w:pPr>
        <w:spacing w:after="160"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The authors received no </w:t>
      </w:r>
      <w:r w:rsidR="001B4974" w:rsidRPr="000A03F1">
        <w:rPr>
          <w:rFonts w:ascii="Times New Roman" w:hAnsi="Times New Roman" w:cs="Times New Roman"/>
          <w:sz w:val="24"/>
          <w:szCs w:val="24"/>
        </w:rPr>
        <w:t>specific</w:t>
      </w:r>
      <w:r w:rsidRPr="000A03F1">
        <w:rPr>
          <w:rFonts w:ascii="Times New Roman" w:hAnsi="Times New Roman" w:cs="Times New Roman"/>
          <w:sz w:val="24"/>
          <w:szCs w:val="24"/>
        </w:rPr>
        <w:t xml:space="preserve"> funding for this work. </w:t>
      </w:r>
    </w:p>
    <w:p w14:paraId="1E85BA4B" w14:textId="6A2CD31F" w:rsidR="00144D32" w:rsidRPr="000A03F1" w:rsidRDefault="00A747CB" w:rsidP="002A0D19">
      <w:pPr>
        <w:pStyle w:val="Heading2"/>
        <w:spacing w:line="480" w:lineRule="auto"/>
        <w:jc w:val="both"/>
        <w:rPr>
          <w:rFonts w:ascii="Times New Roman" w:hAnsi="Times New Roman" w:cs="Times New Roman"/>
        </w:rPr>
      </w:pPr>
      <w:r w:rsidRPr="000A03F1">
        <w:rPr>
          <w:rFonts w:ascii="Times New Roman" w:hAnsi="Times New Roman" w:cs="Times New Roman"/>
        </w:rPr>
        <w:t>5.4. Data Availability</w:t>
      </w:r>
    </w:p>
    <w:p w14:paraId="3F57111F" w14:textId="58D0FA52" w:rsidR="0063062C" w:rsidRPr="000A03F1" w:rsidRDefault="00144D32" w:rsidP="002A0D19">
      <w:pPr>
        <w:spacing w:after="160"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All data used in the model </w:t>
      </w:r>
      <w:r w:rsidR="006D1E90" w:rsidRPr="000A03F1">
        <w:rPr>
          <w:rFonts w:ascii="Times New Roman" w:hAnsi="Times New Roman" w:cs="Times New Roman"/>
          <w:sz w:val="24"/>
          <w:szCs w:val="24"/>
        </w:rPr>
        <w:t>is attached as supplementary</w:t>
      </w:r>
      <w:r w:rsidR="00711189">
        <w:rPr>
          <w:rFonts w:ascii="Times New Roman" w:hAnsi="Times New Roman" w:cs="Times New Roman"/>
          <w:sz w:val="24"/>
          <w:szCs w:val="24"/>
        </w:rPr>
        <w:t xml:space="preserve"> and made publicly available on </w:t>
      </w:r>
      <w:proofErr w:type="spellStart"/>
      <w:r w:rsidR="00711189">
        <w:rPr>
          <w:rFonts w:ascii="Times New Roman" w:hAnsi="Times New Roman" w:cs="Times New Roman"/>
          <w:sz w:val="24"/>
          <w:szCs w:val="24"/>
        </w:rPr>
        <w:t>Github</w:t>
      </w:r>
      <w:proofErr w:type="spellEnd"/>
      <w:r w:rsidR="00711189">
        <w:rPr>
          <w:rFonts w:ascii="Times New Roman" w:hAnsi="Times New Roman" w:cs="Times New Roman"/>
          <w:sz w:val="24"/>
          <w:szCs w:val="24"/>
        </w:rPr>
        <w:t xml:space="preserve"> at </w:t>
      </w:r>
      <w:hyperlink r:id="rId17" w:history="1">
        <w:r w:rsidR="00711189" w:rsidRPr="00205DAA">
          <w:rPr>
            <w:rStyle w:val="Hyperlink"/>
            <w:rFonts w:ascii="Times New Roman" w:hAnsi="Times New Roman" w:cs="Times New Roman"/>
            <w:sz w:val="24"/>
            <w:szCs w:val="24"/>
          </w:rPr>
          <w:t>https://github.com/dissertation-mgh/MGH-Dissertation</w:t>
        </w:r>
      </w:hyperlink>
      <w:r w:rsidR="00711189">
        <w:rPr>
          <w:rFonts w:ascii="Times New Roman" w:hAnsi="Times New Roman" w:cs="Times New Roman"/>
          <w:sz w:val="24"/>
          <w:szCs w:val="24"/>
        </w:rPr>
        <w:t>.</w:t>
      </w:r>
    </w:p>
    <w:p w14:paraId="79A218D8" w14:textId="77777777" w:rsidR="0063062C" w:rsidRPr="000A03F1" w:rsidRDefault="0063062C" w:rsidP="002A0D19">
      <w:pPr>
        <w:pStyle w:val="Heading2"/>
        <w:jc w:val="both"/>
        <w:rPr>
          <w:rFonts w:ascii="Times New Roman" w:hAnsi="Times New Roman" w:cs="Times New Roman"/>
        </w:rPr>
      </w:pPr>
      <w:r w:rsidRPr="000A03F1">
        <w:rPr>
          <w:rFonts w:ascii="Times New Roman" w:hAnsi="Times New Roman" w:cs="Times New Roman"/>
        </w:rPr>
        <w:t>5.5. Code Availability</w:t>
      </w:r>
    </w:p>
    <w:p w14:paraId="7DA04843" w14:textId="6F51DBB4" w:rsidR="00431EE6" w:rsidRPr="000A03F1" w:rsidRDefault="00E23AA2" w:rsidP="002A0D19">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The model that supported the empirical estimates produced in this study was coded in </w:t>
      </w:r>
      <w:r w:rsidR="00CF4B91" w:rsidRPr="000A03F1">
        <w:rPr>
          <w:rFonts w:ascii="Times New Roman" w:hAnsi="Times New Roman" w:cs="Times New Roman"/>
          <w:sz w:val="24"/>
          <w:szCs w:val="24"/>
        </w:rPr>
        <w:t>R version 4.2.3.</w:t>
      </w:r>
      <w:r w:rsidRPr="000A03F1">
        <w:rPr>
          <w:rFonts w:ascii="Times New Roman" w:hAnsi="Times New Roman" w:cs="Times New Roman"/>
          <w:sz w:val="24"/>
          <w:szCs w:val="24"/>
        </w:rPr>
        <w:t xml:space="preserve"> and is available </w:t>
      </w:r>
      <w:r w:rsidR="00AF246F">
        <w:rPr>
          <w:rFonts w:ascii="Times New Roman" w:hAnsi="Times New Roman" w:cs="Times New Roman"/>
          <w:sz w:val="24"/>
          <w:szCs w:val="24"/>
        </w:rPr>
        <w:t xml:space="preserve">on </w:t>
      </w:r>
      <w:proofErr w:type="spellStart"/>
      <w:r w:rsidR="00AF246F">
        <w:rPr>
          <w:rFonts w:ascii="Times New Roman" w:hAnsi="Times New Roman" w:cs="Times New Roman"/>
          <w:sz w:val="24"/>
          <w:szCs w:val="24"/>
        </w:rPr>
        <w:t>Github</w:t>
      </w:r>
      <w:proofErr w:type="spellEnd"/>
      <w:r w:rsidR="00AF246F">
        <w:rPr>
          <w:rFonts w:ascii="Times New Roman" w:hAnsi="Times New Roman" w:cs="Times New Roman"/>
          <w:sz w:val="24"/>
          <w:szCs w:val="24"/>
        </w:rPr>
        <w:t xml:space="preserve"> at </w:t>
      </w:r>
      <w:hyperlink r:id="rId18" w:history="1">
        <w:r w:rsidR="00AF246F" w:rsidRPr="00205DAA">
          <w:rPr>
            <w:rStyle w:val="Hyperlink"/>
            <w:rFonts w:ascii="Times New Roman" w:hAnsi="Times New Roman" w:cs="Times New Roman"/>
            <w:sz w:val="24"/>
            <w:szCs w:val="24"/>
          </w:rPr>
          <w:t>https://github.com/dissertation-mgh/MGH-Dissertation</w:t>
        </w:r>
      </w:hyperlink>
      <w:r w:rsidR="00AF246F">
        <w:rPr>
          <w:rFonts w:ascii="Times New Roman" w:hAnsi="Times New Roman" w:cs="Times New Roman"/>
          <w:sz w:val="24"/>
          <w:szCs w:val="24"/>
        </w:rPr>
        <w:t>.</w:t>
      </w:r>
    </w:p>
    <w:p w14:paraId="5C583F52" w14:textId="77777777" w:rsidR="00D13635" w:rsidRPr="000A03F1" w:rsidRDefault="00431EE6" w:rsidP="00951581">
      <w:pPr>
        <w:pStyle w:val="Heading2"/>
        <w:spacing w:line="480" w:lineRule="auto"/>
        <w:jc w:val="both"/>
        <w:rPr>
          <w:rFonts w:ascii="Times New Roman" w:hAnsi="Times New Roman" w:cs="Times New Roman"/>
        </w:rPr>
      </w:pPr>
      <w:r w:rsidRPr="000A03F1">
        <w:rPr>
          <w:rFonts w:ascii="Times New Roman" w:hAnsi="Times New Roman" w:cs="Times New Roman"/>
        </w:rPr>
        <w:t>5.6. Supporting Information Caption</w:t>
      </w:r>
    </w:p>
    <w:p w14:paraId="5FF13657" w14:textId="033E95BF" w:rsidR="009E0E89" w:rsidRPr="000A03F1" w:rsidRDefault="009E0E89"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Appendix S1. </w:t>
      </w:r>
      <w:r w:rsidR="005C27B3" w:rsidRPr="000A03F1">
        <w:rPr>
          <w:rFonts w:ascii="Times New Roman" w:hAnsi="Times New Roman" w:cs="Times New Roman"/>
          <w:sz w:val="24"/>
          <w:szCs w:val="24"/>
        </w:rPr>
        <w:t>The transmission and vaccination model.</w:t>
      </w:r>
    </w:p>
    <w:p w14:paraId="236282D8" w14:textId="185BFBC9" w:rsidR="00524A1F" w:rsidRPr="000A03F1" w:rsidRDefault="00D72C87"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Appendix </w:t>
      </w:r>
      <w:r w:rsidR="00D13635" w:rsidRPr="000A03F1">
        <w:rPr>
          <w:rFonts w:ascii="Times New Roman" w:hAnsi="Times New Roman" w:cs="Times New Roman"/>
          <w:sz w:val="24"/>
          <w:szCs w:val="24"/>
        </w:rPr>
        <w:t>S</w:t>
      </w:r>
      <w:r w:rsidR="009E0E89" w:rsidRPr="000A03F1">
        <w:rPr>
          <w:rFonts w:ascii="Times New Roman" w:hAnsi="Times New Roman" w:cs="Times New Roman"/>
          <w:sz w:val="24"/>
          <w:szCs w:val="24"/>
        </w:rPr>
        <w:t>2</w:t>
      </w:r>
      <w:r w:rsidR="007816D5" w:rsidRPr="000A03F1">
        <w:rPr>
          <w:rFonts w:ascii="Times New Roman" w:hAnsi="Times New Roman" w:cs="Times New Roman"/>
          <w:sz w:val="24"/>
          <w:szCs w:val="24"/>
        </w:rPr>
        <w:t>.</w:t>
      </w:r>
      <w:r w:rsidR="00AC427C" w:rsidRPr="000A03F1">
        <w:rPr>
          <w:rFonts w:ascii="Times New Roman" w:hAnsi="Times New Roman" w:cs="Times New Roman"/>
          <w:sz w:val="24"/>
          <w:szCs w:val="24"/>
        </w:rPr>
        <w:t xml:space="preserve"> </w:t>
      </w:r>
      <w:r w:rsidR="005C27B3">
        <w:rPr>
          <w:rFonts w:ascii="Times New Roman" w:hAnsi="Times New Roman" w:cs="Times New Roman"/>
          <w:sz w:val="24"/>
          <w:szCs w:val="24"/>
        </w:rPr>
        <w:t>Data</w:t>
      </w:r>
      <w:r w:rsidR="003610F9">
        <w:rPr>
          <w:rFonts w:ascii="Times New Roman" w:hAnsi="Times New Roman" w:cs="Times New Roman"/>
          <w:sz w:val="24"/>
          <w:szCs w:val="24"/>
        </w:rPr>
        <w:t>.</w:t>
      </w:r>
    </w:p>
    <w:p w14:paraId="47FB04EA" w14:textId="0E69A2AE" w:rsidR="00110B7E" w:rsidRPr="000A03F1" w:rsidRDefault="00D72C87"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Appendix </w:t>
      </w:r>
      <w:r w:rsidR="00110B7E" w:rsidRPr="000A03F1">
        <w:rPr>
          <w:rFonts w:ascii="Times New Roman" w:hAnsi="Times New Roman" w:cs="Times New Roman"/>
          <w:sz w:val="24"/>
          <w:szCs w:val="24"/>
        </w:rPr>
        <w:t>S3. Initial conditions.</w:t>
      </w:r>
    </w:p>
    <w:p w14:paraId="33FE2C8E" w14:textId="35ABC8AE"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S1. </w:t>
      </w:r>
      <w:r w:rsidRPr="0089753C">
        <w:rPr>
          <w:rFonts w:ascii="Times New Roman" w:hAnsi="Times New Roman" w:cs="Times New Roman"/>
          <w:sz w:val="24"/>
          <w:szCs w:val="24"/>
        </w:rPr>
        <w:t>The overall workflow of the analysis.</w:t>
      </w:r>
      <w:r w:rsidR="00630F6D">
        <w:rPr>
          <w:rFonts w:ascii="Times New Roman" w:hAnsi="Times New Roman" w:cs="Times New Roman"/>
          <w:sz w:val="24"/>
          <w:szCs w:val="24"/>
        </w:rPr>
        <w:t xml:space="preserve"> </w:t>
      </w:r>
      <w:r w:rsidR="00630F6D" w:rsidRPr="00630F6D">
        <w:rPr>
          <w:rFonts w:ascii="Times New Roman" w:hAnsi="Times New Roman" w:cs="Times New Roman"/>
          <w:sz w:val="24"/>
          <w:szCs w:val="24"/>
        </w:rPr>
        <w:t xml:space="preserve">The overall workflow of the analysis. The analysis started with data training which consists of the characterising of case notification data in order to divide the population into two age groups before the seasonality of monthly DHF cases was averaged by month (first box). The transmission model was then run for 45 years, while the first 40 years was discarded, and the remaining 5 years was fitted with the data by minimising negative log-likelihood following Poisson distribution. Then, seroprevalence rate, vaccine coverage, and screening coverage were all calculated for modelling vaccination (second box). In the vaccination model, the model was run in order to evaluate the total hospitalised DHF cases averted after 3 years (third box). The sensitivity analysis was performed by adjusting the vaccination timing </w:t>
      </w:r>
      <w:r w:rsidR="00630F6D" w:rsidRPr="00630F6D">
        <w:rPr>
          <w:rFonts w:ascii="Times New Roman" w:hAnsi="Times New Roman" w:cs="Times New Roman"/>
          <w:sz w:val="24"/>
          <w:szCs w:val="24"/>
        </w:rPr>
        <w:lastRenderedPageBreak/>
        <w:t>according to each period where the each DENV serotype was the highest in terms of its proportion. Then, the vaccination scenario was run according to each timing and the number of hospitalised DHF cases was recalculated (fourth box).</w:t>
      </w:r>
    </w:p>
    <w:p w14:paraId="6D86EEF8" w14:textId="1D85946E"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S2. </w:t>
      </w:r>
      <w:r w:rsidR="00A12F53" w:rsidRPr="000A03F1">
        <w:rPr>
          <w:rFonts w:ascii="Times New Roman" w:hAnsi="Times New Roman" w:cs="Times New Roman"/>
          <w:sz w:val="24"/>
          <w:szCs w:val="24"/>
        </w:rPr>
        <w:t>The trajectories of the trend and the seasonality of monthly reported DHF cases of those aged 0 - 14 years.</w:t>
      </w:r>
    </w:p>
    <w:p w14:paraId="4B25A993" w14:textId="111990E9"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S3. </w:t>
      </w:r>
      <w:r w:rsidR="00A12F53" w:rsidRPr="000A03F1">
        <w:rPr>
          <w:rFonts w:ascii="Times New Roman" w:hAnsi="Times New Roman" w:cs="Times New Roman"/>
          <w:sz w:val="24"/>
          <w:szCs w:val="24"/>
        </w:rPr>
        <w:t>The trajectories of the trend and the seasonality of monthly reported DHF cases of those aged 15 to 75+ years.</w:t>
      </w:r>
    </w:p>
    <w:p w14:paraId="140E4633" w14:textId="51588E70"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S4. </w:t>
      </w:r>
      <w:r w:rsidR="00A12F53" w:rsidRPr="000A03F1">
        <w:rPr>
          <w:rFonts w:ascii="Times New Roman" w:hAnsi="Times New Roman" w:cs="Times New Roman"/>
          <w:sz w:val="24"/>
          <w:szCs w:val="24"/>
        </w:rPr>
        <w:t>The resulting DENV-1 to DENV-4 serotype dominance following vaccination in scenario 1.</w:t>
      </w:r>
    </w:p>
    <w:p w14:paraId="75202D6B" w14:textId="0DD2FF8D"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Figure S5.</w:t>
      </w:r>
      <w:r w:rsidR="00A12F53" w:rsidRPr="000A03F1">
        <w:rPr>
          <w:rFonts w:ascii="Times New Roman" w:hAnsi="Times New Roman" w:cs="Times New Roman"/>
          <w:sz w:val="24"/>
          <w:szCs w:val="24"/>
        </w:rPr>
        <w:t xml:space="preserve"> The resulting DENV-1 to DENV-4 serotype dominance following vaccination in scenario 2.</w:t>
      </w:r>
      <w:r w:rsidRPr="000A03F1">
        <w:rPr>
          <w:rFonts w:ascii="Times New Roman" w:hAnsi="Times New Roman" w:cs="Times New Roman"/>
          <w:sz w:val="24"/>
          <w:szCs w:val="24"/>
        </w:rPr>
        <w:t xml:space="preserve"> </w:t>
      </w:r>
    </w:p>
    <w:p w14:paraId="7E7018C4" w14:textId="7FF2A888"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Figure S6.</w:t>
      </w:r>
      <w:r w:rsidR="00A12F53" w:rsidRPr="000A03F1">
        <w:rPr>
          <w:rFonts w:ascii="Times New Roman" w:hAnsi="Times New Roman" w:cs="Times New Roman"/>
          <w:sz w:val="24"/>
          <w:szCs w:val="24"/>
        </w:rPr>
        <w:t xml:space="preserve"> The resulting DENV-1 to DENV-4 serotype dominance following vaccination in scenario 3.</w:t>
      </w:r>
      <w:r w:rsidRPr="000A03F1">
        <w:rPr>
          <w:rFonts w:ascii="Times New Roman" w:hAnsi="Times New Roman" w:cs="Times New Roman"/>
          <w:sz w:val="24"/>
          <w:szCs w:val="24"/>
        </w:rPr>
        <w:t xml:space="preserve"> </w:t>
      </w:r>
    </w:p>
    <w:p w14:paraId="200C67F7" w14:textId="67DFA0E6"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S7. </w:t>
      </w:r>
      <w:r w:rsidR="00A12F53" w:rsidRPr="000A03F1">
        <w:rPr>
          <w:rFonts w:ascii="Times New Roman" w:hAnsi="Times New Roman" w:cs="Times New Roman"/>
          <w:sz w:val="24"/>
          <w:szCs w:val="24"/>
        </w:rPr>
        <w:t>The resulting DENV-1 to DENV-4 serotype dominance following vaccination in scenario 4.</w:t>
      </w:r>
    </w:p>
    <w:p w14:paraId="49935D59" w14:textId="1BBBCE1B" w:rsidR="00524A1F"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 xml:space="preserve">Figure S8. </w:t>
      </w:r>
      <w:r w:rsidR="00A12F53" w:rsidRPr="000A03F1">
        <w:rPr>
          <w:rFonts w:ascii="Times New Roman" w:hAnsi="Times New Roman" w:cs="Times New Roman"/>
          <w:sz w:val="24"/>
          <w:szCs w:val="24"/>
        </w:rPr>
        <w:t>The resulting DENV-1 to DENV-4 serotype dominance following vaccination in scenario 5.</w:t>
      </w:r>
    </w:p>
    <w:p w14:paraId="110F00EF" w14:textId="59FEBC01" w:rsidR="003D68E4" w:rsidRDefault="003D68E4" w:rsidP="00951581">
      <w:pPr>
        <w:spacing w:line="480" w:lineRule="auto"/>
        <w:jc w:val="both"/>
        <w:rPr>
          <w:rFonts w:ascii="Times New Roman" w:hAnsi="Times New Roman" w:cs="Times New Roman"/>
          <w:sz w:val="24"/>
          <w:szCs w:val="24"/>
        </w:rPr>
      </w:pPr>
      <w:r>
        <w:rPr>
          <w:rFonts w:ascii="Times New Roman" w:hAnsi="Times New Roman" w:cs="Times New Roman"/>
          <w:sz w:val="24"/>
          <w:szCs w:val="24"/>
        </w:rPr>
        <w:t>Supplementary figures</w:t>
      </w:r>
      <w:r w:rsidR="00B4343E">
        <w:rPr>
          <w:rFonts w:ascii="Times New Roman" w:hAnsi="Times New Roman" w:cs="Times New Roman"/>
          <w:sz w:val="24"/>
          <w:szCs w:val="24"/>
        </w:rPr>
        <w:t>.</w:t>
      </w:r>
    </w:p>
    <w:p w14:paraId="4E794B2C" w14:textId="2F7AC7CB" w:rsidR="003D68E4" w:rsidRPr="000A03F1" w:rsidRDefault="003D68E4" w:rsidP="00951581">
      <w:pPr>
        <w:spacing w:line="480" w:lineRule="auto"/>
        <w:jc w:val="both"/>
        <w:rPr>
          <w:rFonts w:ascii="Times New Roman" w:hAnsi="Times New Roman" w:cs="Times New Roman"/>
          <w:sz w:val="24"/>
          <w:szCs w:val="24"/>
        </w:rPr>
      </w:pPr>
      <w:r>
        <w:rPr>
          <w:rFonts w:ascii="Times New Roman" w:hAnsi="Times New Roman" w:cs="Times New Roman"/>
          <w:sz w:val="24"/>
          <w:szCs w:val="24"/>
        </w:rPr>
        <w:t>Supplementary figures</w:t>
      </w:r>
      <w:r w:rsidR="00B4343E">
        <w:rPr>
          <w:rFonts w:ascii="Times New Roman" w:hAnsi="Times New Roman" w:cs="Times New Roman"/>
          <w:sz w:val="24"/>
          <w:szCs w:val="24"/>
        </w:rPr>
        <w:t>.</w:t>
      </w:r>
    </w:p>
    <w:p w14:paraId="640A56F9" w14:textId="63BD6A00" w:rsidR="00524A1F" w:rsidRPr="000A03F1" w:rsidRDefault="00524A1F" w:rsidP="00951581">
      <w:pPr>
        <w:spacing w:line="480" w:lineRule="auto"/>
        <w:jc w:val="both"/>
        <w:rPr>
          <w:rFonts w:ascii="Times New Roman" w:hAnsi="Times New Roman" w:cs="Times New Roman"/>
          <w:sz w:val="24"/>
          <w:szCs w:val="24"/>
        </w:rPr>
      </w:pPr>
      <w:r w:rsidRPr="000A03F1">
        <w:rPr>
          <w:rFonts w:ascii="Times New Roman" w:hAnsi="Times New Roman" w:cs="Times New Roman"/>
          <w:sz w:val="24"/>
          <w:szCs w:val="24"/>
        </w:rPr>
        <w:t>Table S1. The list of parameters used in the model.</w:t>
      </w:r>
    </w:p>
    <w:p w14:paraId="373FB520" w14:textId="1A7F1F75" w:rsidR="002A7B4F" w:rsidRPr="000A03F1" w:rsidRDefault="00524A1F" w:rsidP="00951581">
      <w:pPr>
        <w:spacing w:line="480" w:lineRule="auto"/>
        <w:jc w:val="both"/>
        <w:rPr>
          <w:rFonts w:ascii="Times New Roman" w:hAnsi="Times New Roman" w:cs="Times New Roman"/>
        </w:rPr>
      </w:pPr>
      <w:r w:rsidRPr="000A03F1">
        <w:rPr>
          <w:rFonts w:ascii="Times New Roman" w:hAnsi="Times New Roman" w:cs="Times New Roman"/>
          <w:sz w:val="24"/>
          <w:szCs w:val="24"/>
        </w:rPr>
        <w:t xml:space="preserve">Table S2. Outcomes of each scenario across 4 different assumptions. </w:t>
      </w:r>
    </w:p>
    <w:p w14:paraId="14477F12" w14:textId="77777777" w:rsidR="00813046" w:rsidRPr="000A03F1" w:rsidRDefault="00813046" w:rsidP="00741A05">
      <w:pPr>
        <w:spacing w:line="480" w:lineRule="auto"/>
        <w:contextualSpacing/>
        <w:rPr>
          <w:rFonts w:ascii="Times New Roman" w:hAnsi="Times New Roman" w:cs="Times New Roman"/>
          <w:sz w:val="24"/>
          <w:szCs w:val="24"/>
        </w:rPr>
        <w:sectPr w:rsidR="00813046" w:rsidRPr="000A03F1" w:rsidSect="00D37E9E">
          <w:pgSz w:w="12240" w:h="15840"/>
          <w:pgMar w:top="1440" w:right="1440" w:bottom="1440" w:left="1440" w:header="720" w:footer="720" w:gutter="0"/>
          <w:lnNumType w:countBy="1" w:restart="continuous"/>
          <w:cols w:space="720"/>
          <w:docGrid w:linePitch="299"/>
        </w:sectPr>
      </w:pPr>
    </w:p>
    <w:p w14:paraId="078150B9" w14:textId="29CADA9E" w:rsidR="00CE5A47" w:rsidRPr="000A03F1" w:rsidRDefault="00287E0A" w:rsidP="00875E75">
      <w:pPr>
        <w:pStyle w:val="Heading1"/>
        <w:jc w:val="both"/>
        <w:rPr>
          <w:rFonts w:ascii="Times New Roman" w:hAnsi="Times New Roman" w:cs="Times New Roman"/>
        </w:rPr>
      </w:pPr>
      <w:r w:rsidRPr="000A03F1">
        <w:rPr>
          <w:rFonts w:ascii="Times New Roman" w:hAnsi="Times New Roman" w:cs="Times New Roman"/>
        </w:rPr>
        <w:lastRenderedPageBreak/>
        <w:t xml:space="preserve">6. </w:t>
      </w:r>
      <w:r w:rsidR="00692135" w:rsidRPr="000A03F1">
        <w:rPr>
          <w:rFonts w:ascii="Times New Roman" w:hAnsi="Times New Roman" w:cs="Times New Roman"/>
        </w:rPr>
        <w:t>References</w:t>
      </w:r>
    </w:p>
    <w:p w14:paraId="2E78600F" w14:textId="77777777" w:rsidR="00681D61" w:rsidRPr="00681D61" w:rsidRDefault="00CE5A47" w:rsidP="00681D61">
      <w:pPr>
        <w:pStyle w:val="Bibliography"/>
      </w:pPr>
      <w:r w:rsidRPr="000A03F1">
        <w:fldChar w:fldCharType="begin"/>
      </w:r>
      <w:r w:rsidR="00681D61">
        <w:instrText xml:space="preserve"> ADDIN ZOTERO_BIBL {"uncited":[],"omitted":[],"custom":[]} CSL_BIBLIOGRAPHY </w:instrText>
      </w:r>
      <w:r w:rsidRPr="000A03F1">
        <w:fldChar w:fldCharType="separate"/>
      </w:r>
      <w:r w:rsidR="00681D61" w:rsidRPr="00681D61">
        <w:t>1.</w:t>
      </w:r>
      <w:r w:rsidR="00681D61" w:rsidRPr="00681D61">
        <w:tab/>
        <w:t>Murugesan A, Manoharan M. Dengue Virus. In: Emerging and Reemerging Viral Pathogens [Internet]. Elsevier; 2020 [cited 2023 Aug 8]. p. 281–359. Available from: https://linkinghub.elsevier.com/retrieve/pii/B9780128194003000168</w:t>
      </w:r>
    </w:p>
    <w:p w14:paraId="5B09E19C" w14:textId="77777777" w:rsidR="00681D61" w:rsidRPr="00681D61" w:rsidRDefault="00681D61" w:rsidP="00681D61">
      <w:pPr>
        <w:pStyle w:val="Bibliography"/>
      </w:pPr>
      <w:r w:rsidRPr="00681D61">
        <w:t>2.</w:t>
      </w:r>
      <w:r w:rsidRPr="00681D61">
        <w:tab/>
        <w:t xml:space="preserve">World Health Organization, editor. Comprehensive guidelines for prevention and control of dengue and dengue haemorrhagic fever. Rev. and expanded. ed. New Delhi, India: World Health Organization Regional Office for South-East Asia; 2011. 196 p. (SEARO Technical publication series). </w:t>
      </w:r>
    </w:p>
    <w:p w14:paraId="2521066C" w14:textId="77777777" w:rsidR="00681D61" w:rsidRPr="00681D61" w:rsidRDefault="00681D61" w:rsidP="00681D61">
      <w:pPr>
        <w:pStyle w:val="Bibliography"/>
      </w:pPr>
      <w:r w:rsidRPr="00681D61">
        <w:t>3.</w:t>
      </w:r>
      <w:r w:rsidRPr="00681D61">
        <w:tab/>
        <w:t xml:space="preserve">Bhatt S, Gething PW, Brady OJ, Messina JP, Farlow AW, Moyes CL, et al. The global distribution and burden of dengue. Nature. 2013 Apr;496(7446):504–7. </w:t>
      </w:r>
    </w:p>
    <w:p w14:paraId="7F003486" w14:textId="77777777" w:rsidR="00681D61" w:rsidRPr="00681D61" w:rsidRDefault="00681D61" w:rsidP="00681D61">
      <w:pPr>
        <w:pStyle w:val="Bibliography"/>
      </w:pPr>
      <w:r w:rsidRPr="00681D61">
        <w:t>4.</w:t>
      </w:r>
      <w:r w:rsidRPr="00681D61">
        <w:tab/>
        <w:t xml:space="preserve">O’Reilly KM, Hendrickx E, Kharisma DD, Wilastonegoro NN, Carrington LB, Elyazar IRF, et al. Estimating the burden of dengue and the impact of release of wMel Wolbachia-infected mosquitoes in Indonesia: a modelling study. BMC Med. 2019 Dec;17(1):172. </w:t>
      </w:r>
    </w:p>
    <w:p w14:paraId="45EBE9F9" w14:textId="77777777" w:rsidR="00681D61" w:rsidRPr="00681D61" w:rsidRDefault="00681D61" w:rsidP="00681D61">
      <w:pPr>
        <w:pStyle w:val="Bibliography"/>
      </w:pPr>
      <w:r w:rsidRPr="00681D61">
        <w:t>5.</w:t>
      </w:r>
      <w:r w:rsidRPr="00681D61">
        <w:tab/>
        <w:t xml:space="preserve">Guzman MG, Gubler DJ, Izquierdo A, Martinez E, Halstead SB. Dengue infection. Nat Rev Dis Primers. 2016 Dec 22;2(1):16055. </w:t>
      </w:r>
    </w:p>
    <w:p w14:paraId="067BC183" w14:textId="77777777" w:rsidR="00681D61" w:rsidRPr="00681D61" w:rsidRDefault="00681D61" w:rsidP="00681D61">
      <w:pPr>
        <w:pStyle w:val="Bibliography"/>
      </w:pPr>
      <w:r w:rsidRPr="00681D61">
        <w:t>6.</w:t>
      </w:r>
      <w:r w:rsidRPr="00681D61">
        <w:tab/>
        <w:t xml:space="preserve">Imrie A, Meeks J, Gurary A, Sukhbaatar M, Truong TT, Cropp CB, et al. Antibody to Dengue 1 Detected More Than 60 Years after Infection. Viral Immunology. 2007 Dec;20(4):672–5. </w:t>
      </w:r>
    </w:p>
    <w:p w14:paraId="54BB8014" w14:textId="77777777" w:rsidR="00681D61" w:rsidRPr="00681D61" w:rsidRDefault="00681D61" w:rsidP="00681D61">
      <w:pPr>
        <w:pStyle w:val="Bibliography"/>
      </w:pPr>
      <w:r w:rsidRPr="00681D61">
        <w:t>7.</w:t>
      </w:r>
      <w:r w:rsidRPr="00681D61">
        <w:tab/>
        <w:t xml:space="preserve">Murrell S, Wu SC, Butler M. Review of dengue virus and the development of a vaccine. Biotechnology Advances. 2011 Mar;29(2):239–47. </w:t>
      </w:r>
    </w:p>
    <w:p w14:paraId="382D4FAA" w14:textId="77777777" w:rsidR="00681D61" w:rsidRPr="00681D61" w:rsidRDefault="00681D61" w:rsidP="00681D61">
      <w:pPr>
        <w:pStyle w:val="Bibliography"/>
      </w:pPr>
      <w:r w:rsidRPr="00681D61">
        <w:t>8.</w:t>
      </w:r>
      <w:r w:rsidRPr="00681D61">
        <w:tab/>
        <w:t xml:space="preserve">Forshey BM, Reiner RC, Olkowski S, Morrison AC, Espinoza A, Long KC, et al. Incomplete Protection against Dengue Virus Type 2 Re-infection in Peru. Messer WB, editor. PLoS Negl Trop Dis. 2016 Feb 5;10(2):e0004398. </w:t>
      </w:r>
    </w:p>
    <w:p w14:paraId="3D5602C7" w14:textId="77777777" w:rsidR="00681D61" w:rsidRPr="00681D61" w:rsidRDefault="00681D61" w:rsidP="00681D61">
      <w:pPr>
        <w:pStyle w:val="Bibliography"/>
      </w:pPr>
      <w:r w:rsidRPr="00681D61">
        <w:t>9.</w:t>
      </w:r>
      <w:r w:rsidRPr="00681D61">
        <w:tab/>
        <w:t xml:space="preserve">Waggoner JJ, Balmaseda A, Gresh L, Sahoo MK, Montoya M, Wang C, et al. Homotypic Dengue Virus Reinfections in Nicaraguan Children. J Infect Dis. 2016 Oct 1;214(7):986–93. </w:t>
      </w:r>
    </w:p>
    <w:p w14:paraId="27B553DA" w14:textId="77777777" w:rsidR="00681D61" w:rsidRPr="00681D61" w:rsidRDefault="00681D61" w:rsidP="00681D61">
      <w:pPr>
        <w:pStyle w:val="Bibliography"/>
      </w:pPr>
      <w:r w:rsidRPr="00681D61">
        <w:t>10.</w:t>
      </w:r>
      <w:r w:rsidRPr="00681D61">
        <w:tab/>
        <w:t xml:space="preserve">Cummings DAT, Iamsirithaworn S, Lessler JT, McDermott A, Prasanthong R, Nisalak A, et al. The Impact of the Demographic Transition on Dengue in Thailand: Insights from a Statistical Analysis and Mathematical Modeling. Farrar J, editor. PLoS Med. 2009 Sep 1;6(9):e1000139. </w:t>
      </w:r>
    </w:p>
    <w:p w14:paraId="725E9793" w14:textId="77777777" w:rsidR="00681D61" w:rsidRPr="00681D61" w:rsidRDefault="00681D61" w:rsidP="00681D61">
      <w:pPr>
        <w:pStyle w:val="Bibliography"/>
      </w:pPr>
      <w:r w:rsidRPr="00681D61">
        <w:t>11.</w:t>
      </w:r>
      <w:r w:rsidRPr="00681D61">
        <w:tab/>
        <w:t xml:space="preserve">Guzmán MG, Kouri G, Bravo J, Valdes L, Susana V, Halstead SB. Effect of age on outcome of secondary dengue 2 infections. International Journal of Infectious Diseases. 2002 Jun;6(2):118–24. </w:t>
      </w:r>
    </w:p>
    <w:p w14:paraId="31E9EA40" w14:textId="77777777" w:rsidR="00681D61" w:rsidRPr="00681D61" w:rsidRDefault="00681D61" w:rsidP="00681D61">
      <w:pPr>
        <w:pStyle w:val="Bibliography"/>
      </w:pPr>
      <w:r w:rsidRPr="00681D61">
        <w:t>12.</w:t>
      </w:r>
      <w:r w:rsidRPr="00681D61">
        <w:tab/>
        <w:t xml:space="preserve">Anderson KB, Gibbons RV, Cummings DAT, Nisalak A, Green S, Libraty DH, et al. A Shorter Time Interval Between First and Second Dengue Infections Is Associated With Protection From Clinical Illness in a School-based Cohort in Thailand. The Journal of Infectious Diseases. 2014 Feb 1;209(3):360–8. </w:t>
      </w:r>
    </w:p>
    <w:p w14:paraId="75CC58DC" w14:textId="77777777" w:rsidR="00681D61" w:rsidRPr="00681D61" w:rsidRDefault="00681D61" w:rsidP="00681D61">
      <w:pPr>
        <w:pStyle w:val="Bibliography"/>
      </w:pPr>
      <w:r w:rsidRPr="00681D61">
        <w:t>13.</w:t>
      </w:r>
      <w:r w:rsidRPr="00681D61">
        <w:tab/>
        <w:t xml:space="preserve">Sabin AB. Research on Dengue during World War II. Am J Trop Med. 1952 Jan;1(1):30–50. </w:t>
      </w:r>
    </w:p>
    <w:p w14:paraId="3B79F84B" w14:textId="77777777" w:rsidR="00681D61" w:rsidRPr="00681D61" w:rsidRDefault="00681D61" w:rsidP="00681D61">
      <w:pPr>
        <w:pStyle w:val="Bibliography"/>
      </w:pPr>
      <w:r w:rsidRPr="00681D61">
        <w:lastRenderedPageBreak/>
        <w:t>14.</w:t>
      </w:r>
      <w:r w:rsidRPr="00681D61">
        <w:tab/>
        <w:t xml:space="preserve">Katzelnick LC, Gresh L, Halloran ME, Mercado JC, Kuan G, Gordon A, et al. Antibody-dependent enhancement of severe dengue disease in humans. Science. 2017 Nov 17;358(6365):929–32. </w:t>
      </w:r>
    </w:p>
    <w:p w14:paraId="51371F33" w14:textId="77777777" w:rsidR="00681D61" w:rsidRPr="00681D61" w:rsidRDefault="00681D61" w:rsidP="00681D61">
      <w:pPr>
        <w:pStyle w:val="Bibliography"/>
      </w:pPr>
      <w:r w:rsidRPr="00681D61">
        <w:t>15.</w:t>
      </w:r>
      <w:r w:rsidRPr="00681D61">
        <w:tab/>
        <w:t xml:space="preserve">St. John AL, Rathore APS. Adaptive immune responses to primary and secondary dengue virus infections. Nat Rev Immunol. 2019 Apr;19(4):218–30. </w:t>
      </w:r>
    </w:p>
    <w:p w14:paraId="4AB4CC15" w14:textId="77777777" w:rsidR="00681D61" w:rsidRPr="00681D61" w:rsidRDefault="00681D61" w:rsidP="00681D61">
      <w:pPr>
        <w:pStyle w:val="Bibliography"/>
      </w:pPr>
      <w:r w:rsidRPr="00681D61">
        <w:t>16.</w:t>
      </w:r>
      <w:r w:rsidRPr="00681D61">
        <w:tab/>
        <w:t xml:space="preserve">Midgley CM, Bajwa-Joseph M, Vasanawathana S, Limpitikul W, Wills B, Flanagan A, et al. An In-Depth Analysis of Original Antigenic Sin in Dengue Virus Infection. J Virol. 2011 Jan;85(1):410–21. </w:t>
      </w:r>
    </w:p>
    <w:p w14:paraId="15061254" w14:textId="77777777" w:rsidR="00681D61" w:rsidRPr="00681D61" w:rsidRDefault="00681D61" w:rsidP="00681D61">
      <w:pPr>
        <w:pStyle w:val="Bibliography"/>
      </w:pPr>
      <w:r w:rsidRPr="00681D61">
        <w:t>17.</w:t>
      </w:r>
      <w:r w:rsidRPr="00681D61">
        <w:tab/>
        <w:t xml:space="preserve">Katzelnick LC, Montoya M, Gresh L, Balmaseda A, Harris E. Neutralizing antibody titers against dengue virus correlate with protection from symptomatic infection in a longitudinal cohort. Proc Natl Acad Sci USA. 2016 Jan 19;113(3):728–33. </w:t>
      </w:r>
    </w:p>
    <w:p w14:paraId="24F9EC0C" w14:textId="77777777" w:rsidR="00681D61" w:rsidRPr="00681D61" w:rsidRDefault="00681D61" w:rsidP="00681D61">
      <w:pPr>
        <w:pStyle w:val="Bibliography"/>
      </w:pPr>
      <w:r w:rsidRPr="00681D61">
        <w:t>18.</w:t>
      </w:r>
      <w:r w:rsidRPr="00681D61">
        <w:tab/>
        <w:t>Takeda. Takeda’s QDENGA®▼ (Dengue Tetravalent Vaccine [Live, Attenuated]) Approved for Use in European Union [Internet]. Takeda; 2022 [cited 2023 Aug 8]. Available from: https://www.takeda.com/newsroom/newsreleases/2022/takedas-qdenga-dengue-tetravalent-vaccine-live-attenuated-approved-for-use-in-european-union/</w:t>
      </w:r>
    </w:p>
    <w:p w14:paraId="22E13F6F" w14:textId="77777777" w:rsidR="00681D61" w:rsidRPr="00681D61" w:rsidRDefault="00681D61" w:rsidP="00681D61">
      <w:pPr>
        <w:pStyle w:val="Bibliography"/>
      </w:pPr>
      <w:r w:rsidRPr="00681D61">
        <w:t>19.</w:t>
      </w:r>
      <w:r w:rsidRPr="00681D61">
        <w:tab/>
        <w:t>Takeda. Takeda’s QDENGA®▼ (Dengue Tetravalent Vaccine [Live, Attenuated]) Approved in Indonesia for Use Regardless of Prior Dengue Exposure [Internet]. Takeda; 2022 [cited 2023 Aug 8]. Available from: https://www.takeda.com/newsroom/newsreleases/2022/takedas-qdenga-dengue-tetravalent-vaccine-live-attenuated-approved-in-indonesia-for-use-regardless-of-prior-dengue-exposure/</w:t>
      </w:r>
    </w:p>
    <w:p w14:paraId="364B4C35" w14:textId="77777777" w:rsidR="00681D61" w:rsidRPr="00681D61" w:rsidRDefault="00681D61" w:rsidP="00681D61">
      <w:pPr>
        <w:pStyle w:val="Bibliography"/>
      </w:pPr>
      <w:r w:rsidRPr="00681D61">
        <w:t>20.</w:t>
      </w:r>
      <w:r w:rsidRPr="00681D61">
        <w:tab/>
        <w:t>European Medicine Agency. Dengvaxia [Internet]. European Medicine Agency; 2019 [cited 2023 Aug 8]. Available from: https://www.ema.europa.eu/en/medicines/human/EPAR/dengvaxia</w:t>
      </w:r>
    </w:p>
    <w:p w14:paraId="01B760A7" w14:textId="77777777" w:rsidR="00681D61" w:rsidRPr="00681D61" w:rsidRDefault="00681D61" w:rsidP="00681D61">
      <w:pPr>
        <w:pStyle w:val="Bibliography"/>
      </w:pPr>
      <w:r w:rsidRPr="00681D61">
        <w:t>21.</w:t>
      </w:r>
      <w:r w:rsidRPr="00681D61">
        <w:tab/>
        <w:t xml:space="preserve">WHO. Dengue vaccines: WHO position paper - September 2018. Weekly epidemiological record. 2018;90(36):457–76. </w:t>
      </w:r>
    </w:p>
    <w:p w14:paraId="7303A083" w14:textId="77777777" w:rsidR="00681D61" w:rsidRPr="00681D61" w:rsidRDefault="00681D61" w:rsidP="00681D61">
      <w:pPr>
        <w:pStyle w:val="Bibliography"/>
      </w:pPr>
      <w:r w:rsidRPr="00681D61">
        <w:t>22.</w:t>
      </w:r>
      <w:r w:rsidRPr="00681D61">
        <w:tab/>
        <w:t xml:space="preserve">Biswal S, Borja-Tabora C, Martinez Vargas L, Velásquez H, Theresa Alera M, Sierra V, et al. Efficacy of a tetravalent dengue vaccine in healthy children aged 4–16 years: a randomised, placebo-controlled, phase 3 trial. The Lancet. 2020 May;395(10234):1423–33. </w:t>
      </w:r>
    </w:p>
    <w:p w14:paraId="6D31A41F" w14:textId="77777777" w:rsidR="00681D61" w:rsidRPr="00681D61" w:rsidRDefault="00681D61" w:rsidP="00681D61">
      <w:pPr>
        <w:pStyle w:val="Bibliography"/>
      </w:pPr>
      <w:r w:rsidRPr="00681D61">
        <w:t>23.</w:t>
      </w:r>
      <w:r w:rsidRPr="00681D61">
        <w:tab/>
        <w:t xml:space="preserve">Biswal S, Reynales H, Saez-Llorens X, Lopez P, Borja-Tabora C, Kosalaraksa P, et al. Efficacy of a Tetravalent Dengue Vaccine in Healthy Children and Adolescents. N Engl J Med. 2019 Nov 21;381(21):2009–19. </w:t>
      </w:r>
    </w:p>
    <w:p w14:paraId="247224A3" w14:textId="77777777" w:rsidR="00681D61" w:rsidRPr="00681D61" w:rsidRDefault="00681D61" w:rsidP="00681D61">
      <w:pPr>
        <w:pStyle w:val="Bibliography"/>
      </w:pPr>
      <w:r w:rsidRPr="00681D61">
        <w:t>24.</w:t>
      </w:r>
      <w:r w:rsidRPr="00681D61">
        <w:tab/>
        <w:t xml:space="preserve">Capeding MR, Tran NH, Hadinegoro SRS, Ismail HIHM, Chotpitayasunondh T, Chua MN, et al. Clinical efficacy and safety of a novel tetravalent dengue vaccine in healthy children in Asia: a phase 3, randomised, observer-masked, placebo-controlled trial. The Lancet. 2014 Oct;384(9951):1358–65. </w:t>
      </w:r>
    </w:p>
    <w:p w14:paraId="49F43FEE" w14:textId="77777777" w:rsidR="00681D61" w:rsidRPr="00681D61" w:rsidRDefault="00681D61" w:rsidP="00681D61">
      <w:pPr>
        <w:pStyle w:val="Bibliography"/>
      </w:pPr>
      <w:r w:rsidRPr="00681D61">
        <w:t>25.</w:t>
      </w:r>
      <w:r w:rsidRPr="00681D61">
        <w:tab/>
        <w:t xml:space="preserve">Hadinegoro SR, Arredondo-García JL, Capeding MR, Deseda C, Chotpitayasunondh T, Dietze R, et al. Efficacy and Long-Term Safety of a Dengue Vaccine in Regions of Endemic Disease. N Engl J Med. 2015 Sep 24;373(13):1195–206. </w:t>
      </w:r>
    </w:p>
    <w:p w14:paraId="3A456893" w14:textId="77777777" w:rsidR="00681D61" w:rsidRPr="00681D61" w:rsidRDefault="00681D61" w:rsidP="00681D61">
      <w:pPr>
        <w:pStyle w:val="Bibliography"/>
      </w:pPr>
      <w:r w:rsidRPr="00681D61">
        <w:lastRenderedPageBreak/>
        <w:t>26.</w:t>
      </w:r>
      <w:r w:rsidRPr="00681D61">
        <w:tab/>
        <w:t xml:space="preserve">Rivera L, Biswal S, Sáez-Llorens X, Reynales H, López-Medina E, Borja-Tabora C, et al. Three-year Efficacy and Safety of Takeda’s Dengue Vaccine Candidate (TAK-003). Clinical Infectious Diseases. 2022 Aug 24;75(1):107–17. </w:t>
      </w:r>
    </w:p>
    <w:p w14:paraId="13C9A473" w14:textId="77777777" w:rsidR="00681D61" w:rsidRPr="00681D61" w:rsidRDefault="00681D61" w:rsidP="00681D61">
      <w:pPr>
        <w:pStyle w:val="Bibliography"/>
      </w:pPr>
      <w:r w:rsidRPr="00681D61">
        <w:t>27.</w:t>
      </w:r>
      <w:r w:rsidRPr="00681D61">
        <w:tab/>
        <w:t xml:space="preserve">Villar L, Dayan GH, Arredondo-García JL, Rivera DM, Cunha R, Deseda C, et al. Efficacy of a Tetravalent Dengue Vaccine in Children in Latin America. N Engl J Med. 2015 Jan 8;372(2):113–23. </w:t>
      </w:r>
    </w:p>
    <w:p w14:paraId="39B68979" w14:textId="77777777" w:rsidR="00681D61" w:rsidRPr="00681D61" w:rsidRDefault="00681D61" w:rsidP="00681D61">
      <w:pPr>
        <w:pStyle w:val="Bibliography"/>
      </w:pPr>
      <w:r w:rsidRPr="00681D61">
        <w:t>28.</w:t>
      </w:r>
      <w:r w:rsidRPr="00681D61">
        <w:tab/>
        <w:t xml:space="preserve">Shukla R, Ramasamy V, Shanmugam RK, Ahuja R, Khanna N. Antibody-Dependent Enhancement: A Challenge for Developing a Safe Dengue Vaccine. Front Cell Infect Microbiol. 2020 Oct 22;10:572681. </w:t>
      </w:r>
    </w:p>
    <w:p w14:paraId="2AC4BB8D" w14:textId="77777777" w:rsidR="00681D61" w:rsidRPr="00681D61" w:rsidRDefault="00681D61" w:rsidP="00681D61">
      <w:pPr>
        <w:pStyle w:val="Bibliography"/>
      </w:pPr>
      <w:r w:rsidRPr="00681D61">
        <w:t>29.</w:t>
      </w:r>
      <w:r w:rsidRPr="00681D61">
        <w:tab/>
        <w:t xml:space="preserve">Flasche S, Jit M, Rodríguez-Barraquer I, Coudeville L, Recker M, Koelle K, et al. The Long-Term Safety, Public Health Impact, and Cost-Effectiveness of Routine Vaccination with a Recombinant, Live-Attenuated Dengue Vaccine (Dengvaxia): A Model Comparison Study. von Seidlein L, editor. PLoS Med. 2016 Nov 29;13(11):e1002181. </w:t>
      </w:r>
    </w:p>
    <w:p w14:paraId="585BECD5" w14:textId="77777777" w:rsidR="00681D61" w:rsidRPr="00681D61" w:rsidRDefault="00681D61" w:rsidP="00681D61">
      <w:pPr>
        <w:pStyle w:val="Bibliography"/>
      </w:pPr>
      <w:r w:rsidRPr="00681D61">
        <w:t>30.</w:t>
      </w:r>
      <w:r w:rsidRPr="00681D61">
        <w:tab/>
        <w:t>Mallapaty S. Dengue vaccine poised for roll-out but safety concerns linger. Nature [Internet]. 2022 Nov 11; Available from: https://www.nature.com/articles/d41586-022-03546-2</w:t>
      </w:r>
    </w:p>
    <w:p w14:paraId="599994B3" w14:textId="77777777" w:rsidR="00681D61" w:rsidRPr="00681D61" w:rsidRDefault="00681D61" w:rsidP="00681D61">
      <w:pPr>
        <w:pStyle w:val="Bibliography"/>
      </w:pPr>
      <w:r w:rsidRPr="00681D61">
        <w:t>31.</w:t>
      </w:r>
      <w:r w:rsidRPr="00681D61">
        <w:tab/>
        <w:t xml:space="preserve">O’Driscoll M, Imai N, Ferguson NM, Hadinegoro SR, Satari HI, Tam CC, et al. Spatiotemporal variability in dengue transmission intensity in Jakarta, Indonesia. Azman AS, editor. PLoS Negl Trop Dis. 2020 Mar 6;14(3):e0008102. </w:t>
      </w:r>
    </w:p>
    <w:p w14:paraId="73EA7163" w14:textId="77777777" w:rsidR="00681D61" w:rsidRPr="00681D61" w:rsidRDefault="00681D61" w:rsidP="00681D61">
      <w:pPr>
        <w:pStyle w:val="Bibliography"/>
      </w:pPr>
      <w:r w:rsidRPr="00681D61">
        <w:t>32.</w:t>
      </w:r>
      <w:r w:rsidRPr="00681D61">
        <w:tab/>
        <w:t xml:space="preserve">Suwantika AA, Supadmi W, Ali M, Abdulah R. Cost-effectiveness and budget impact analyses of dengue vaccination in Indonesia. Forshey BM, editor. PLoS Negl Trop Dis. 2021 Aug 12;15(8):e0009664. </w:t>
      </w:r>
    </w:p>
    <w:p w14:paraId="040CE56B" w14:textId="77777777" w:rsidR="00681D61" w:rsidRPr="00681D61" w:rsidRDefault="00681D61" w:rsidP="00681D61">
      <w:pPr>
        <w:pStyle w:val="Bibliography"/>
      </w:pPr>
      <w:r w:rsidRPr="00681D61">
        <w:t>33.</w:t>
      </w:r>
      <w:r w:rsidRPr="00681D61">
        <w:tab/>
        <w:t xml:space="preserve">Nagao Y, Koelle K. Decreases in dengue transmission may act to increase the incidence of dengue hemorrhagic fever. Proc Natl Acad Sci USA. 2008 Feb 12;105(6):2238–43. </w:t>
      </w:r>
    </w:p>
    <w:p w14:paraId="7DC9F67C" w14:textId="77777777" w:rsidR="00681D61" w:rsidRPr="00681D61" w:rsidRDefault="00681D61" w:rsidP="00681D61">
      <w:pPr>
        <w:pStyle w:val="Bibliography"/>
      </w:pPr>
      <w:r w:rsidRPr="00681D61">
        <w:t>34.</w:t>
      </w:r>
      <w:r w:rsidRPr="00681D61">
        <w:tab/>
        <w:t xml:space="preserve">Kraiselburd E, Gubler DJ, Kessler MJ. Quantity of dengue virus required to infect rhesus monkeys. Transactions of the Royal Society of Tropical Medicine and Hygiene. 1985 Jan;79(2):248–51. </w:t>
      </w:r>
    </w:p>
    <w:p w14:paraId="4801F13A" w14:textId="77777777" w:rsidR="00681D61" w:rsidRPr="00681D61" w:rsidRDefault="00681D61" w:rsidP="00681D61">
      <w:pPr>
        <w:pStyle w:val="Bibliography"/>
      </w:pPr>
      <w:r w:rsidRPr="00681D61">
        <w:t>35.</w:t>
      </w:r>
      <w:r w:rsidRPr="00681D61">
        <w:tab/>
        <w:t>Kochel TJ, Watts DM, Gozalo AS, Ewing DF, Porter KR, Russell KL. Cross</w:t>
      </w:r>
      <w:r w:rsidRPr="00681D61">
        <w:rPr>
          <w:rFonts w:ascii="Cambria Math" w:hAnsi="Cambria Math" w:cs="Cambria Math"/>
        </w:rPr>
        <w:t>‐</w:t>
      </w:r>
      <w:r w:rsidRPr="00681D61">
        <w:t xml:space="preserve">Serotype Neutralization of Dengue Virus in </w:t>
      </w:r>
      <w:r w:rsidRPr="00681D61">
        <w:rPr>
          <w:i/>
          <w:iCs/>
        </w:rPr>
        <w:t>Aotus</w:t>
      </w:r>
      <w:r w:rsidRPr="00681D61">
        <w:t xml:space="preserve"> </w:t>
      </w:r>
      <w:r w:rsidRPr="00681D61">
        <w:rPr>
          <w:i/>
          <w:iCs/>
        </w:rPr>
        <w:t>nancymae</w:t>
      </w:r>
      <w:r w:rsidRPr="00681D61">
        <w:t xml:space="preserve"> Monkeys. J INFECT DIS. 2005 Mar 15;191(6):1000–4. </w:t>
      </w:r>
    </w:p>
    <w:p w14:paraId="0D90136B" w14:textId="77777777" w:rsidR="00681D61" w:rsidRPr="00681D61" w:rsidRDefault="00681D61" w:rsidP="00681D61">
      <w:pPr>
        <w:pStyle w:val="Bibliography"/>
      </w:pPr>
      <w:r w:rsidRPr="00681D61">
        <w:t>36.</w:t>
      </w:r>
      <w:r w:rsidRPr="00681D61">
        <w:tab/>
        <w:t xml:space="preserve">Salje H, Cummings DAT, Rodriguez-Barraquer I, Katzelnick LC, Lessler J, Klungthong C, et al. Reconstruction of antibody dynamics and infection histories to evaluate dengue risk. Nature. 2018 May;557(7707):719–23. </w:t>
      </w:r>
    </w:p>
    <w:p w14:paraId="6B459F13" w14:textId="77777777" w:rsidR="00681D61" w:rsidRPr="00681D61" w:rsidRDefault="00681D61" w:rsidP="00681D61">
      <w:pPr>
        <w:pStyle w:val="Bibliography"/>
      </w:pPr>
      <w:r w:rsidRPr="00681D61">
        <w:t>37.</w:t>
      </w:r>
      <w:r w:rsidRPr="00681D61">
        <w:tab/>
        <w:t xml:space="preserve">Endy TP, Srikiatkhachorn A, Jarman RG, Mammen MP, Vaughn DW, Kalanarooj S, et al. Analysis of Repeat Hospital Admissions for Dengue to Estimate the Frequency of Third or Fourth Dengue Infections Resulting in Admissions and Dengue Hemorrhagic Fever, and Serotype Sequences. The American Journal of Tropical Medicine and Hygiene. 2007 Nov 1;77(5):910–3. </w:t>
      </w:r>
    </w:p>
    <w:p w14:paraId="68F48660" w14:textId="77777777" w:rsidR="00681D61" w:rsidRPr="00681D61" w:rsidRDefault="00681D61" w:rsidP="00681D61">
      <w:pPr>
        <w:pStyle w:val="Bibliography"/>
      </w:pPr>
      <w:r w:rsidRPr="00681D61">
        <w:t>38.</w:t>
      </w:r>
      <w:r w:rsidRPr="00681D61">
        <w:tab/>
        <w:t>Health Department of Jakarta. Seksi Surveilans Epidemiologi dan Imunisasi [Internet]. 2023 [cited 2023 Aug 8]. Available from: https://surveilans-dinkes.jakarta.go.id/sarsbaru/index.php</w:t>
      </w:r>
    </w:p>
    <w:p w14:paraId="07D3EF10" w14:textId="77777777" w:rsidR="00681D61" w:rsidRPr="00681D61" w:rsidRDefault="00681D61" w:rsidP="00681D61">
      <w:pPr>
        <w:pStyle w:val="Bibliography"/>
      </w:pPr>
      <w:r w:rsidRPr="00681D61">
        <w:lastRenderedPageBreak/>
        <w:t>39.</w:t>
      </w:r>
      <w:r w:rsidRPr="00681D61">
        <w:tab/>
        <w:t xml:space="preserve">Ministry of Health, Republic of Indonesia. Health Profile of Indonesia 2009–2018. 2018. </w:t>
      </w:r>
    </w:p>
    <w:p w14:paraId="6886F8A6" w14:textId="77777777" w:rsidR="00681D61" w:rsidRPr="00681D61" w:rsidRDefault="00681D61" w:rsidP="00681D61">
      <w:pPr>
        <w:pStyle w:val="Bibliography"/>
      </w:pPr>
      <w:r w:rsidRPr="00681D61">
        <w:t>40.</w:t>
      </w:r>
      <w:r w:rsidRPr="00681D61">
        <w:tab/>
        <w:t xml:space="preserve">Lopez AL, Adams C, Ylade M, Jadi R, Daag JV, Molloy CT, et al. Determining dengue virus serostatus by indirect IgG ELISA compared with focus reduction neutralisation test in children in Cebu, Philippines: a prospective population-based study. The Lancet Global Health. 2021 Jan;9(1):e44–51. </w:t>
      </w:r>
    </w:p>
    <w:p w14:paraId="1CFDEF38" w14:textId="77777777" w:rsidR="00681D61" w:rsidRPr="00681D61" w:rsidRDefault="00681D61" w:rsidP="00681D61">
      <w:pPr>
        <w:pStyle w:val="Bibliography"/>
      </w:pPr>
      <w:r w:rsidRPr="00681D61">
        <w:t>41.</w:t>
      </w:r>
      <w:r w:rsidRPr="00681D61">
        <w:tab/>
        <w:t xml:space="preserve">Tam CC, O’Driscoll M, Taurel AF, Nealon J, Hadinegoro SR. Geographic variation in dengue seroprevalence and force of infection in the urban paediatric population of Indonesia. Horstick O, editor. PLoS Negl Trop Dis. 2018 Nov 2;12(11):e0006932. </w:t>
      </w:r>
    </w:p>
    <w:p w14:paraId="54CEF4EF" w14:textId="77777777" w:rsidR="00681D61" w:rsidRPr="00681D61" w:rsidRDefault="00681D61" w:rsidP="00681D61">
      <w:pPr>
        <w:pStyle w:val="Bibliography"/>
      </w:pPr>
      <w:r w:rsidRPr="00681D61">
        <w:t>42.</w:t>
      </w:r>
      <w:r w:rsidRPr="00681D61">
        <w:tab/>
        <w:t xml:space="preserve">Leta S, Beyene TJ, De Clercq EM, Amenu K, Kraemer MUG, Revie CW. Global risk mapping for major diseases transmitted by Aedes aegypti and Aedes albopictus. International Journal of Infectious Diseases. 2018 Feb;67:25–35. </w:t>
      </w:r>
    </w:p>
    <w:p w14:paraId="22975A81" w14:textId="77777777" w:rsidR="00681D61" w:rsidRPr="00681D61" w:rsidRDefault="00681D61" w:rsidP="00681D61">
      <w:pPr>
        <w:pStyle w:val="Bibliography"/>
      </w:pPr>
      <w:r w:rsidRPr="00681D61">
        <w:t>43.</w:t>
      </w:r>
      <w:r w:rsidRPr="00681D61">
        <w:tab/>
        <w:t xml:space="preserve">Wilder-Smith A, Peeling RW. Optimising dengue pre-vaccination screening. The Lancet Infectious Diseases. 2021 Apr;21(4):442–4. </w:t>
      </w:r>
    </w:p>
    <w:p w14:paraId="2377CD00" w14:textId="77777777" w:rsidR="00681D61" w:rsidRPr="00681D61" w:rsidRDefault="00681D61" w:rsidP="00681D61">
      <w:pPr>
        <w:pStyle w:val="Bibliography"/>
      </w:pPr>
      <w:r w:rsidRPr="00681D61">
        <w:t>44.</w:t>
      </w:r>
      <w:r w:rsidRPr="00681D61">
        <w:tab/>
        <w:t xml:space="preserve">Dorigatti I, Donnelly CA, Laydon DJ, Small R, Jackson N, Coudeville L, et al. Refined efficacy estimates of the Sanofi Pasteur dengue vaccine CYD-TDV using machine learning. Nat Commun. 2018 Sep 7;9(1):3644. </w:t>
      </w:r>
    </w:p>
    <w:p w14:paraId="46002D13" w14:textId="77777777" w:rsidR="00681D61" w:rsidRPr="00681D61" w:rsidRDefault="00681D61" w:rsidP="00681D61">
      <w:pPr>
        <w:pStyle w:val="Bibliography"/>
      </w:pPr>
      <w:r w:rsidRPr="00681D61">
        <w:t>45.</w:t>
      </w:r>
      <w:r w:rsidRPr="00681D61">
        <w:tab/>
        <w:t xml:space="preserve">Utarini A, Indriani C, Ahmad RA, Tantowijoyo W, Arguni E, Ansari MR, et al. Efficacy of Wolbachia-Infected Mosquito Deployments for the Control of Dengue. N Engl J Med. 2021 Jun 10;384(23):2177–86. </w:t>
      </w:r>
    </w:p>
    <w:p w14:paraId="0FCE14F6" w14:textId="77777777" w:rsidR="00681D61" w:rsidRPr="00681D61" w:rsidRDefault="00681D61" w:rsidP="00681D61">
      <w:pPr>
        <w:pStyle w:val="Bibliography"/>
      </w:pPr>
      <w:r w:rsidRPr="00681D61">
        <w:t>46.</w:t>
      </w:r>
      <w:r w:rsidRPr="00681D61">
        <w:tab/>
        <w:t xml:space="preserve">Brady OJ, Kharisma DD, Wilastonegoro NN, O’Reilly KM, Hendrickx E, Bastos LS, et al. The cost-effectiveness of controlling dengue in Indonesia using wMel Wolbachia released at scale: a modelling study. BMC Med. 2020 Dec;18(1):186. </w:t>
      </w:r>
    </w:p>
    <w:p w14:paraId="7006D9C9" w14:textId="77777777" w:rsidR="00681D61" w:rsidRPr="00681D61" w:rsidRDefault="00681D61" w:rsidP="00681D61">
      <w:pPr>
        <w:pStyle w:val="Bibliography"/>
      </w:pPr>
      <w:r w:rsidRPr="00681D61">
        <w:t>47.</w:t>
      </w:r>
      <w:r w:rsidRPr="00681D61">
        <w:tab/>
        <w:t xml:space="preserve">Van Panhuis WG, Choisy M, Xiong X, Chok NS, Akarasewi P, Iamsirithaworn S, et al. Region-wide synchrony and traveling waves of dengue across eight countries in Southeast Asia. Proc Natl Acad Sci USA. 2015 Oct 20;112(42):13069–74. </w:t>
      </w:r>
    </w:p>
    <w:p w14:paraId="51DDEB9B" w14:textId="77777777" w:rsidR="00681D61" w:rsidRPr="00681D61" w:rsidRDefault="00681D61" w:rsidP="00681D61">
      <w:pPr>
        <w:pStyle w:val="Bibliography"/>
      </w:pPr>
      <w:r w:rsidRPr="00681D61">
        <w:t>48.</w:t>
      </w:r>
      <w:r w:rsidRPr="00681D61">
        <w:tab/>
        <w:t xml:space="preserve">Xu L, Stige LC, Chan KS, Zhou J, Yang J, Sang S, et al. Climate variation drives dengue dynamics. Proc Natl Acad Sci USA. 2017 Jan 3;114(1):113–8. </w:t>
      </w:r>
    </w:p>
    <w:p w14:paraId="49A46F40" w14:textId="77777777" w:rsidR="00681D61" w:rsidRPr="00681D61" w:rsidRDefault="00681D61" w:rsidP="00681D61">
      <w:pPr>
        <w:pStyle w:val="Bibliography"/>
      </w:pPr>
      <w:r w:rsidRPr="00681D61">
        <w:t>49.</w:t>
      </w:r>
      <w:r w:rsidRPr="00681D61">
        <w:tab/>
        <w:t xml:space="preserve">Yang B, Borgert BA, Alto BW, Boohene CK, Brew J, Deutsch K, et al. Modelling distributions of Aedes aegypti and Aedes albopictus using climate, host density and interspecies competition. Barker CM, editor. PLoS Negl Trop Dis. 2021 Mar 25;15(3):e0009063. </w:t>
      </w:r>
    </w:p>
    <w:p w14:paraId="444CD134" w14:textId="77777777" w:rsidR="00681D61" w:rsidRPr="00681D61" w:rsidRDefault="00681D61" w:rsidP="00681D61">
      <w:pPr>
        <w:pStyle w:val="Bibliography"/>
      </w:pPr>
      <w:r w:rsidRPr="00681D61">
        <w:t>50.</w:t>
      </w:r>
      <w:r w:rsidRPr="00681D61">
        <w:tab/>
        <w:t xml:space="preserve">Nakase T, Giovanetti M, Obolski U, Lourenço J. Global transmission suitability maps for dengue virus transmitted by Aedes aegypti from 1981 to 2019. Sci Data. 2023 May 12;10(1):275. </w:t>
      </w:r>
    </w:p>
    <w:p w14:paraId="52028165" w14:textId="77777777" w:rsidR="00681D61" w:rsidRPr="00681D61" w:rsidRDefault="00681D61" w:rsidP="00681D61">
      <w:pPr>
        <w:pStyle w:val="Bibliography"/>
      </w:pPr>
      <w:r w:rsidRPr="00681D61">
        <w:t>51.</w:t>
      </w:r>
      <w:r w:rsidRPr="00681D61">
        <w:tab/>
        <w:t xml:space="preserve">Yenamandra SP, Koo C, Chiang S, Lim HSJ, Yeo ZY, Ng LC, et al. Evolution, heterogeneity and global dispersal of cosmopolitan genotype of Dengue virus type 2. Sci Rep. 2021 Jun 29;11(1):13496. </w:t>
      </w:r>
    </w:p>
    <w:p w14:paraId="452AE0CC" w14:textId="77777777" w:rsidR="00681D61" w:rsidRPr="00681D61" w:rsidRDefault="00681D61" w:rsidP="00681D61">
      <w:pPr>
        <w:pStyle w:val="Bibliography"/>
      </w:pPr>
      <w:r w:rsidRPr="00681D61">
        <w:lastRenderedPageBreak/>
        <w:t>52.</w:t>
      </w:r>
      <w:r w:rsidRPr="00681D61">
        <w:tab/>
        <w:t xml:space="preserve">Bell SM, Katzelnick L, Bedford T. Dengue genetic divergence generates within-serotype antigenic variation, but serotypes dominate evolutionary dynamics. eLife. 2019 Aug 6;8:e42496. </w:t>
      </w:r>
    </w:p>
    <w:p w14:paraId="18FEDB89" w14:textId="77777777" w:rsidR="00681D61" w:rsidRPr="00681D61" w:rsidRDefault="00681D61" w:rsidP="00681D61">
      <w:pPr>
        <w:pStyle w:val="Bibliography"/>
      </w:pPr>
      <w:r w:rsidRPr="00681D61">
        <w:t>53.</w:t>
      </w:r>
      <w:r w:rsidRPr="00681D61">
        <w:tab/>
        <w:t xml:space="preserve">Cox V, O’Driscoll M, Imai N, Prayitno A, Hadinegoro SR, Taurel AF, et al. Estimating dengue transmission intensity from serological data: A comparative analysis using mixture and catalytic models. Wu JT, editor. PLoS Negl Trop Dis. 2022 Jul 11;16(7):e0010592. </w:t>
      </w:r>
    </w:p>
    <w:p w14:paraId="0438E00E" w14:textId="77777777" w:rsidR="00681D61" w:rsidRPr="00681D61" w:rsidRDefault="00681D61" w:rsidP="00681D61">
      <w:pPr>
        <w:pStyle w:val="Bibliography"/>
      </w:pPr>
      <w:r w:rsidRPr="00681D61">
        <w:t>54.</w:t>
      </w:r>
      <w:r w:rsidRPr="00681D61">
        <w:tab/>
        <w:t>Reiner RC, Stoddard ST, Forshey BM, King AA, Ellis AM, Lloyd AL, et al. Time-varying, serotype-specific force of infection of dengue virus. Proc Natl Acad Sci USA [Internet]. 2014 Jul [cited 2023 Aug 21];111(26). Available from: https://pnas.org/doi/full/10.1073/pnas.1314933111</w:t>
      </w:r>
    </w:p>
    <w:p w14:paraId="14F81EED" w14:textId="77777777" w:rsidR="00681D61" w:rsidRPr="00681D61" w:rsidRDefault="00681D61" w:rsidP="00681D61">
      <w:pPr>
        <w:pStyle w:val="Bibliography"/>
      </w:pPr>
      <w:r w:rsidRPr="00681D61">
        <w:t>55.</w:t>
      </w:r>
      <w:r w:rsidRPr="00681D61">
        <w:tab/>
        <w:t xml:space="preserve">Aguas R, Dorigatti I, Coudeville L, Luxemburger C, Ferguson NM. Cross-serotype interactions and disease outcome prediction of dengue infections in Vietnam. Sci Rep. 2019 Jun 28;9(1):9395. </w:t>
      </w:r>
    </w:p>
    <w:p w14:paraId="0DC73986" w14:textId="77777777" w:rsidR="00681D61" w:rsidRPr="00681D61" w:rsidRDefault="00681D61" w:rsidP="00681D61">
      <w:pPr>
        <w:pStyle w:val="Bibliography"/>
      </w:pPr>
      <w:r w:rsidRPr="00681D61">
        <w:t>56.</w:t>
      </w:r>
      <w:r w:rsidRPr="00681D61">
        <w:tab/>
        <w:t xml:space="preserve">Eichner M, Schwehm M, Eichner L, Gerlier L. Direct and indirect effects of influenza vaccination. BMC Infect Dis. 2017 Dec;17(1):308. </w:t>
      </w:r>
    </w:p>
    <w:p w14:paraId="2EF691D6" w14:textId="77777777" w:rsidR="00681D61" w:rsidRPr="00681D61" w:rsidRDefault="00681D61" w:rsidP="00681D61">
      <w:pPr>
        <w:pStyle w:val="Bibliography"/>
      </w:pPr>
      <w:r w:rsidRPr="00681D61">
        <w:t>57.</w:t>
      </w:r>
      <w:r w:rsidRPr="00681D61">
        <w:tab/>
        <w:t xml:space="preserve">Guzman MG. Epidemiologic Studies on Dengue in Santiago de Cuba, 1997. American Journal of Epidemiology. 2000 Nov 1;152(9):793–9. </w:t>
      </w:r>
    </w:p>
    <w:p w14:paraId="44459582" w14:textId="77777777" w:rsidR="00681D61" w:rsidRPr="00681D61" w:rsidRDefault="00681D61" w:rsidP="00681D61">
      <w:pPr>
        <w:pStyle w:val="Bibliography"/>
      </w:pPr>
      <w:r w:rsidRPr="00681D61">
        <w:t>58.</w:t>
      </w:r>
      <w:r w:rsidRPr="00681D61">
        <w:tab/>
        <w:t xml:space="preserve">Chan M, Johansson MA. The Incubation Periods of Dengue Viruses. Vasilakis N, editor. PLoS ONE. 2012 Nov 30;7(11):e50972. </w:t>
      </w:r>
    </w:p>
    <w:p w14:paraId="5AAB70E8" w14:textId="69036558" w:rsidR="00CE5A47" w:rsidRPr="000A03F1" w:rsidRDefault="00CE5A47" w:rsidP="00875E75">
      <w:pPr>
        <w:spacing w:line="480" w:lineRule="auto"/>
        <w:contextualSpacing/>
        <w:jc w:val="both"/>
        <w:rPr>
          <w:rFonts w:ascii="Times New Roman" w:eastAsia="Calibri" w:hAnsi="Times New Roman" w:cs="Times New Roman"/>
          <w:sz w:val="28"/>
          <w:szCs w:val="28"/>
        </w:rPr>
        <w:sectPr w:rsidR="00CE5A47" w:rsidRPr="000A03F1" w:rsidSect="00D37E9E">
          <w:pgSz w:w="12240" w:h="15840"/>
          <w:pgMar w:top="1440" w:right="1440" w:bottom="1440" w:left="1440" w:header="720" w:footer="720" w:gutter="0"/>
          <w:lnNumType w:countBy="1" w:restart="continuous"/>
          <w:cols w:space="720"/>
          <w:docGrid w:linePitch="299"/>
        </w:sectPr>
      </w:pPr>
      <w:r w:rsidRPr="000A03F1">
        <w:rPr>
          <w:rFonts w:ascii="Times New Roman" w:hAnsi="Times New Roman" w:cs="Times New Roman"/>
          <w:sz w:val="28"/>
          <w:szCs w:val="28"/>
        </w:rPr>
        <w:fldChar w:fldCharType="end"/>
      </w:r>
    </w:p>
    <w:p w14:paraId="7E17584F"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b/>
          <w:bCs/>
          <w:sz w:val="24"/>
          <w:szCs w:val="24"/>
        </w:rPr>
        <w:lastRenderedPageBreak/>
        <w:t>Table S1</w:t>
      </w:r>
      <w:r w:rsidRPr="000A03F1">
        <w:rPr>
          <w:rFonts w:ascii="Times New Roman" w:eastAsia="Calibri" w:hAnsi="Times New Roman" w:cs="Times New Roman"/>
          <w:sz w:val="24"/>
          <w:szCs w:val="24"/>
        </w:rPr>
        <w:t>. The list of parameters used in the model.</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92"/>
        <w:gridCol w:w="2280"/>
        <w:gridCol w:w="1863"/>
        <w:gridCol w:w="4061"/>
        <w:gridCol w:w="3644"/>
      </w:tblGrid>
      <w:tr w:rsidR="00B42FC3" w:rsidRPr="000A03F1" w14:paraId="25F59D05"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0A3BB58"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b/>
                <w:sz w:val="24"/>
                <w:szCs w:val="24"/>
              </w:rPr>
            </w:pPr>
            <w:r w:rsidRPr="000A03F1">
              <w:rPr>
                <w:rFonts w:ascii="Times New Roman" w:eastAsia="Calibri" w:hAnsi="Times New Roman" w:cs="Times New Roman"/>
                <w:b/>
                <w:sz w:val="24"/>
                <w:szCs w:val="24"/>
              </w:rPr>
              <w:t>name</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0457077F" w14:textId="5E633FEA" w:rsidR="00CE5A47" w:rsidRPr="000A03F1" w:rsidRDefault="00CE5A47" w:rsidP="00B91342">
            <w:pPr>
              <w:tabs>
                <w:tab w:val="left" w:pos="384"/>
              </w:tabs>
              <w:spacing w:after="240" w:line="240" w:lineRule="auto"/>
              <w:contextualSpacing/>
              <w:jc w:val="right"/>
              <w:rPr>
                <w:rFonts w:ascii="Times New Roman" w:eastAsia="Calibri" w:hAnsi="Times New Roman" w:cs="Times New Roman"/>
                <w:b/>
                <w:sz w:val="24"/>
                <w:szCs w:val="24"/>
              </w:rPr>
            </w:pPr>
            <w:r w:rsidRPr="000A03F1">
              <w:rPr>
                <w:rFonts w:ascii="Times New Roman" w:eastAsia="Calibri" w:hAnsi="Times New Roman" w:cs="Times New Roman"/>
                <w:b/>
                <w:sz w:val="24"/>
                <w:szCs w:val="24"/>
              </w:rPr>
              <w:t>value</w:t>
            </w:r>
          </w:p>
        </w:tc>
        <w:tc>
          <w:tcPr>
            <w:tcW w:w="720" w:type="pct"/>
            <w:tcBorders>
              <w:top w:val="single" w:sz="8" w:space="0" w:color="000000"/>
              <w:left w:val="single" w:sz="8" w:space="0" w:color="000000"/>
              <w:bottom w:val="single" w:sz="8" w:space="0" w:color="000000"/>
              <w:right w:val="single" w:sz="8" w:space="0" w:color="000000"/>
            </w:tcBorders>
          </w:tcPr>
          <w:p w14:paraId="19C75587"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b/>
                <w:sz w:val="24"/>
                <w:szCs w:val="24"/>
              </w:rPr>
            </w:pPr>
            <w:r w:rsidRPr="000A03F1">
              <w:rPr>
                <w:rFonts w:ascii="Times New Roman" w:eastAsia="Calibri" w:hAnsi="Times New Roman" w:cs="Times New Roman"/>
                <w:b/>
                <w:sz w:val="24"/>
                <w:szCs w:val="24"/>
              </w:rPr>
              <w:t>unit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F28CCF9"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b/>
                <w:sz w:val="24"/>
                <w:szCs w:val="24"/>
              </w:rPr>
            </w:pPr>
            <w:r w:rsidRPr="000A03F1">
              <w:rPr>
                <w:rFonts w:ascii="Times New Roman" w:eastAsia="Calibri" w:hAnsi="Times New Roman" w:cs="Times New Roman"/>
                <w:b/>
                <w:sz w:val="24"/>
                <w:szCs w:val="24"/>
              </w:rPr>
              <w:t>description</w:t>
            </w:r>
          </w:p>
        </w:tc>
        <w:tc>
          <w:tcPr>
            <w:tcW w:w="1408" w:type="pct"/>
            <w:tcBorders>
              <w:top w:val="single" w:sz="8" w:space="0" w:color="000000"/>
              <w:left w:val="single" w:sz="8" w:space="0" w:color="000000"/>
              <w:bottom w:val="single" w:sz="8" w:space="0" w:color="000000"/>
              <w:right w:val="single" w:sz="8" w:space="0" w:color="000000"/>
            </w:tcBorders>
          </w:tcPr>
          <w:p w14:paraId="2B4C3763"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b/>
                <w:sz w:val="24"/>
                <w:szCs w:val="24"/>
              </w:rPr>
            </w:pPr>
            <w:r w:rsidRPr="000A03F1">
              <w:rPr>
                <w:rFonts w:ascii="Times New Roman" w:eastAsia="Calibri" w:hAnsi="Times New Roman" w:cs="Times New Roman"/>
                <w:b/>
                <w:sz w:val="24"/>
                <w:szCs w:val="24"/>
              </w:rPr>
              <w:t>References</w:t>
            </w:r>
          </w:p>
        </w:tc>
      </w:tr>
      <w:tr w:rsidR="00B42FC3" w:rsidRPr="000A03F1" w14:paraId="38887874"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A958A4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35E7A2BC"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0.000001</w:t>
            </w:r>
          </w:p>
        </w:tc>
        <w:tc>
          <w:tcPr>
            <w:tcW w:w="720" w:type="pct"/>
            <w:tcBorders>
              <w:top w:val="single" w:sz="8" w:space="0" w:color="000000"/>
              <w:left w:val="single" w:sz="8" w:space="0" w:color="000000"/>
              <w:bottom w:val="single" w:sz="8" w:space="0" w:color="000000"/>
              <w:right w:val="single" w:sz="8" w:space="0" w:color="000000"/>
            </w:tcBorders>
          </w:tcPr>
          <w:p w14:paraId="125ADC51"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vertAlign w:val="superscript"/>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42C2D6F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immigration rate</w:t>
            </w:r>
          </w:p>
        </w:tc>
        <w:tc>
          <w:tcPr>
            <w:tcW w:w="1408" w:type="pct"/>
            <w:tcBorders>
              <w:top w:val="single" w:sz="8" w:space="0" w:color="000000"/>
              <w:left w:val="single" w:sz="8" w:space="0" w:color="000000"/>
              <w:bottom w:val="single" w:sz="8" w:space="0" w:color="000000"/>
              <w:right w:val="single" w:sz="8" w:space="0" w:color="000000"/>
            </w:tcBorders>
          </w:tcPr>
          <w:p w14:paraId="47BE46EE" w14:textId="3A08FC53"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{"citationID":"icHUCb13","properties":{"formattedCitation":"(33)","plainCitation":"(33)","noteIndex":0},"citationItems":[{"id":510,"uris":["http://zotero.org/users/10607232/items/HZAHK79K"],"itemData":{"id":510,"type":"article-journal","abstract":"Dengue hemorrhagic fever (DHF) is a potentially fatal manifestation of an infection with the mosquito-borne dengue virus. Because of the social and economic costs of DHF, many countries in Asia and South America have initiated public health measures aimed at vector control. Despite these measures, DHF incidence rates do not appear to be declining. The effectiveness of vector control in reducing dengue transmissibility has thereby been questioned. Here, we revisit this conclusion using epidemiological data from Thailand. We first show, with age incidence data, that dengue transmission rates have fallen since 1981; surprisingly, however, these declines are not associated with decreases in DHF incidence. Instead, district-level analyses indicate a nonmonotonic relationship between the basic reproductive number\n              R\n              0\n              and DHF incidence. To understand this relationship, we formulated three mathematical models, which differ in their assumptions of transient between-serotype cross-protection. Unlike the first two models, the previously unconsidered third model with clinical cross-protection can reproduce this nonmonotonic relationship. Simulation of this model with nonstationary\n              R\n              0\n              reproduces several previously unexplained patterns of dengue dynamics, including a transition from a ≈2-year cycle to a ≈4-year cycle and a transient trough in DHF incidence in provinces with rapid\n              R\n              0\n              declines. These results imply that DHF incidence can be effectively controlled with a sufficiently large reduction in\n              R\n              0\n              but that moderate reductions may be counterproductive. More broadly, these results show that assuming parameter stationarity in systems with approximate stationarity in disease incidence is unjustified and may result in missed opportunities to understand the drivers of disease variability.","container-title":"Proceedings of the National Academy of Sciences","DOI":"10.1073/pnas.0709029105","ISSN":"0027-8424, 1091-6490","issue":"6","journalAbbreviation":"Proc. Natl. Acad. Sci. U.S.A.","language":"en","page":"2238-2243","source":"DOI.org (Crossref)","title":"Decreases in dengue transmission may act to increase the incidence of dengue hemorrhagic fever","volume":"105","author":[{"family":"Nagao","given":"Yoshiro"},{"family":"Koelle","given":"Katia"}],"issued":{"date-parts":[["2008",2,12]]}}}],"schema":"https://github.com/citation-style-language/schema/raw/master/csl-citation.json"}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(33)</w:t>
            </w:r>
            <w:r w:rsidRPr="000A03F1">
              <w:rPr>
                <w:rFonts w:ascii="Times New Roman" w:hAnsi="Times New Roman" w:cs="Times New Roman"/>
                <w:sz w:val="24"/>
                <w:szCs w:val="24"/>
              </w:rPr>
              <w:fldChar w:fldCharType="end"/>
            </w:r>
          </w:p>
          <w:p w14:paraId="69B3F9F1" w14:textId="77777777"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p>
        </w:tc>
      </w:tr>
      <w:tr w:rsidR="00B42FC3" w:rsidRPr="000A03F1" w14:paraId="7137B6F3"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681D52D" w14:textId="64F03EDA" w:rsidR="00CE5A47" w:rsidRPr="000A03F1" w:rsidRDefault="0078315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ε</w:t>
            </w:r>
            <w:r w:rsidR="00CE5A47" w:rsidRPr="00783153">
              <w:rPr>
                <w:rFonts w:ascii="Times New Roman" w:eastAsia="Calibri" w:hAnsi="Times New Roman" w:cs="Times New Roman"/>
                <w:sz w:val="24"/>
                <w:szCs w:val="24"/>
                <w:vertAlign w:val="subscript"/>
              </w:rPr>
              <w:t>A</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1DDC13CA" w14:textId="4164874F"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w:t>
            </w:r>
            <w:r w:rsidR="004626B9" w:rsidRPr="000A03F1">
              <w:rPr>
                <w:rFonts w:ascii="Times New Roman" w:eastAsia="Calibri" w:hAnsi="Times New Roman" w:cs="Times New Roman"/>
                <w:sz w:val="24"/>
                <w:szCs w:val="24"/>
              </w:rPr>
              <w:t>212</w:t>
            </w:r>
          </w:p>
        </w:tc>
        <w:tc>
          <w:tcPr>
            <w:tcW w:w="720" w:type="pct"/>
            <w:tcBorders>
              <w:top w:val="single" w:sz="8" w:space="0" w:color="000000"/>
              <w:left w:val="single" w:sz="8" w:space="0" w:color="000000"/>
              <w:bottom w:val="single" w:sz="8" w:space="0" w:color="000000"/>
              <w:right w:val="single" w:sz="8" w:space="0" w:color="000000"/>
            </w:tcBorders>
          </w:tcPr>
          <w:p w14:paraId="1EEFEA33"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4F87ABE"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seasonal forcing at age group A</w:t>
            </w:r>
          </w:p>
        </w:tc>
        <w:tc>
          <w:tcPr>
            <w:tcW w:w="1408" w:type="pct"/>
            <w:tcBorders>
              <w:top w:val="single" w:sz="8" w:space="0" w:color="000000"/>
              <w:left w:val="single" w:sz="8" w:space="0" w:color="000000"/>
              <w:bottom w:val="single" w:sz="8" w:space="0" w:color="000000"/>
              <w:right w:val="single" w:sz="8" w:space="0" w:color="000000"/>
            </w:tcBorders>
          </w:tcPr>
          <w:p w14:paraId="7B89D18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73722528"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01728E2E" w14:textId="6E00007E" w:rsidR="00CE5A47" w:rsidRPr="000A03F1" w:rsidRDefault="0078315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ε</w:t>
            </w:r>
            <w:r w:rsidR="00CE5A47" w:rsidRPr="00783153">
              <w:rPr>
                <w:rFonts w:ascii="Times New Roman" w:eastAsia="Calibri" w:hAnsi="Times New Roman" w:cs="Times New Roman"/>
                <w:sz w:val="24"/>
                <w:szCs w:val="24"/>
                <w:vertAlign w:val="subscript"/>
              </w:rPr>
              <w:t>B</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2C51E9B" w14:textId="12D95E65"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w:t>
            </w:r>
            <w:r w:rsidR="004626B9" w:rsidRPr="000A03F1">
              <w:rPr>
                <w:rFonts w:ascii="Times New Roman" w:eastAsia="Calibri" w:hAnsi="Times New Roman" w:cs="Times New Roman"/>
                <w:sz w:val="24"/>
                <w:szCs w:val="24"/>
              </w:rPr>
              <w:t>185</w:t>
            </w:r>
          </w:p>
        </w:tc>
        <w:tc>
          <w:tcPr>
            <w:tcW w:w="720" w:type="pct"/>
            <w:tcBorders>
              <w:top w:val="single" w:sz="8" w:space="0" w:color="000000"/>
              <w:left w:val="single" w:sz="8" w:space="0" w:color="000000"/>
              <w:bottom w:val="single" w:sz="8" w:space="0" w:color="000000"/>
              <w:right w:val="single" w:sz="8" w:space="0" w:color="000000"/>
            </w:tcBorders>
          </w:tcPr>
          <w:p w14:paraId="7F33D402"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25942CF"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seasonal forcing at age group B</w:t>
            </w:r>
          </w:p>
        </w:tc>
        <w:tc>
          <w:tcPr>
            <w:tcW w:w="1408" w:type="pct"/>
            <w:tcBorders>
              <w:top w:val="single" w:sz="8" w:space="0" w:color="000000"/>
              <w:left w:val="single" w:sz="8" w:space="0" w:color="000000"/>
              <w:bottom w:val="single" w:sz="8" w:space="0" w:color="000000"/>
              <w:right w:val="single" w:sz="8" w:space="0" w:color="000000"/>
            </w:tcBorders>
          </w:tcPr>
          <w:p w14:paraId="3564B4A0"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5C9E03D1"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7D0867DD" w14:textId="08D11E6A" w:rsidR="00CE5A47" w:rsidRPr="000A03F1" w:rsidRDefault="0078315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μ</w:t>
            </w:r>
            <w:r w:rsidR="00CE5A47" w:rsidRPr="00783153">
              <w:rPr>
                <w:rFonts w:ascii="Times New Roman" w:eastAsia="Calibri" w:hAnsi="Times New Roman" w:cs="Times New Roman"/>
                <w:sz w:val="24"/>
                <w:szCs w:val="24"/>
                <w:vertAlign w:val="subscript"/>
              </w:rPr>
              <w:t>A</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46857EB3"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1/70</w:t>
            </w:r>
          </w:p>
        </w:tc>
        <w:tc>
          <w:tcPr>
            <w:tcW w:w="720" w:type="pct"/>
            <w:tcBorders>
              <w:top w:val="single" w:sz="8" w:space="0" w:color="000000"/>
              <w:left w:val="single" w:sz="8" w:space="0" w:color="000000"/>
              <w:bottom w:val="single" w:sz="8" w:space="0" w:color="000000"/>
              <w:right w:val="single" w:sz="8" w:space="0" w:color="000000"/>
            </w:tcBorders>
          </w:tcPr>
          <w:p w14:paraId="0A5A64C9"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vertAlign w:val="superscript"/>
              </w:rPr>
            </w:pPr>
            <w:r w:rsidRPr="000A03F1">
              <w:rPr>
                <w:rFonts w:ascii="Times New Roman" w:eastAsia="Calibri" w:hAnsi="Times New Roman" w:cs="Times New Roman"/>
                <w:sz w:val="24"/>
                <w:szCs w:val="24"/>
              </w:rPr>
              <w:t>year</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48D918A2"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human death rate at age group A</w:t>
            </w:r>
          </w:p>
        </w:tc>
        <w:tc>
          <w:tcPr>
            <w:tcW w:w="1408" w:type="pct"/>
            <w:tcBorders>
              <w:top w:val="single" w:sz="8" w:space="0" w:color="000000"/>
              <w:left w:val="single" w:sz="8" w:space="0" w:color="000000"/>
              <w:bottom w:val="single" w:sz="8" w:space="0" w:color="000000"/>
              <w:right w:val="single" w:sz="8" w:space="0" w:color="000000"/>
            </w:tcBorders>
          </w:tcPr>
          <w:p w14:paraId="4B92DFB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assumed</w:t>
            </w:r>
          </w:p>
        </w:tc>
      </w:tr>
      <w:tr w:rsidR="00B42FC3" w:rsidRPr="000A03F1" w14:paraId="1F1C11C6"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35053E92" w14:textId="3E2C6097" w:rsidR="00CE5A47" w:rsidRPr="000A03F1" w:rsidRDefault="0078315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μ</w:t>
            </w:r>
            <w:r w:rsidR="00CE5A47" w:rsidRPr="00783153">
              <w:rPr>
                <w:rFonts w:ascii="Times New Roman" w:eastAsia="Calibri" w:hAnsi="Times New Roman" w:cs="Times New Roman"/>
                <w:sz w:val="24"/>
                <w:szCs w:val="24"/>
                <w:vertAlign w:val="subscript"/>
              </w:rPr>
              <w:t>B</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53E321F"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1/50</w:t>
            </w:r>
          </w:p>
        </w:tc>
        <w:tc>
          <w:tcPr>
            <w:tcW w:w="720" w:type="pct"/>
            <w:tcBorders>
              <w:top w:val="single" w:sz="8" w:space="0" w:color="000000"/>
              <w:left w:val="single" w:sz="8" w:space="0" w:color="000000"/>
              <w:bottom w:val="single" w:sz="8" w:space="0" w:color="000000"/>
              <w:right w:val="single" w:sz="8" w:space="0" w:color="000000"/>
            </w:tcBorders>
          </w:tcPr>
          <w:p w14:paraId="5E1582E3"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year</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A4B1E12"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human death rate at age group B</w:t>
            </w:r>
          </w:p>
        </w:tc>
        <w:tc>
          <w:tcPr>
            <w:tcW w:w="1408" w:type="pct"/>
            <w:tcBorders>
              <w:top w:val="single" w:sz="8" w:space="0" w:color="000000"/>
              <w:left w:val="single" w:sz="8" w:space="0" w:color="000000"/>
              <w:bottom w:val="single" w:sz="8" w:space="0" w:color="000000"/>
              <w:right w:val="single" w:sz="8" w:space="0" w:color="000000"/>
            </w:tcBorders>
          </w:tcPr>
          <w:p w14:paraId="2ECD900D" w14:textId="4B10C802" w:rsidR="00CE5A47" w:rsidRPr="000A03F1" w:rsidRDefault="00513DD3"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assumed</w:t>
            </w:r>
          </w:p>
        </w:tc>
      </w:tr>
      <w:tr w:rsidR="008A185C" w:rsidRPr="000A03F1" w14:paraId="203C671E"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A2B7BCA" w14:textId="2B581968" w:rsidR="008A185C" w:rsidRPr="000A03F1" w:rsidRDefault="00FD4611"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hAnsi="Times New Roman" w:cs="Times New Roman"/>
                <w:sz w:val="24"/>
                <w:szCs w:val="24"/>
              </w:rPr>
              <w:t>Φ</w:t>
            </w:r>
            <w:r w:rsidR="008A185C" w:rsidRPr="00894BA3">
              <w:rPr>
                <w:rFonts w:ascii="Times New Roman" w:eastAsia="Calibri" w:hAnsi="Times New Roman" w:cs="Times New Roman"/>
                <w:sz w:val="24"/>
                <w:szCs w:val="24"/>
                <w:vertAlign w:val="subscript"/>
              </w:rPr>
              <w:t>A</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138EEE5" w14:textId="64AC0388" w:rsidR="008A185C" w:rsidRPr="000A03F1" w:rsidRDefault="006345B0"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8.50</w:t>
            </w:r>
          </w:p>
        </w:tc>
        <w:tc>
          <w:tcPr>
            <w:tcW w:w="720" w:type="pct"/>
            <w:tcBorders>
              <w:top w:val="single" w:sz="8" w:space="0" w:color="000000"/>
              <w:left w:val="single" w:sz="8" w:space="0" w:color="000000"/>
              <w:bottom w:val="single" w:sz="8" w:space="0" w:color="000000"/>
              <w:right w:val="single" w:sz="8" w:space="0" w:color="000000"/>
            </w:tcBorders>
          </w:tcPr>
          <w:p w14:paraId="203179FF" w14:textId="3E946196" w:rsidR="008A185C" w:rsidRPr="000A03F1" w:rsidRDefault="00636BA6"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Month</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2521E4F5" w14:textId="24A37772" w:rsidR="008A185C" w:rsidRPr="000A03F1" w:rsidRDefault="00A1123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Seasonal lag in age group A</w:t>
            </w:r>
          </w:p>
        </w:tc>
        <w:tc>
          <w:tcPr>
            <w:tcW w:w="1408" w:type="pct"/>
            <w:tcBorders>
              <w:top w:val="single" w:sz="8" w:space="0" w:color="000000"/>
              <w:left w:val="single" w:sz="8" w:space="0" w:color="000000"/>
              <w:bottom w:val="single" w:sz="8" w:space="0" w:color="000000"/>
              <w:right w:val="single" w:sz="8" w:space="0" w:color="000000"/>
            </w:tcBorders>
          </w:tcPr>
          <w:p w14:paraId="2059631F" w14:textId="25C5E920" w:rsidR="008A185C" w:rsidRPr="000A03F1" w:rsidRDefault="00DD0FE3"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8A185C" w:rsidRPr="000A03F1" w14:paraId="51358306"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CFB91E4" w14:textId="39411B53" w:rsidR="008A185C" w:rsidRPr="000A03F1" w:rsidRDefault="00FD4611"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hAnsi="Times New Roman" w:cs="Times New Roman"/>
                <w:sz w:val="24"/>
                <w:szCs w:val="24"/>
              </w:rPr>
              <w:t>Φ</w:t>
            </w:r>
            <w:r w:rsidR="008A185C" w:rsidRPr="00894BA3">
              <w:rPr>
                <w:rFonts w:ascii="Times New Roman" w:eastAsia="Calibri" w:hAnsi="Times New Roman" w:cs="Times New Roman"/>
                <w:sz w:val="24"/>
                <w:szCs w:val="24"/>
                <w:vertAlign w:val="subscript"/>
              </w:rPr>
              <w:t>B</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3A18CAFE" w14:textId="14DFC596" w:rsidR="008A185C" w:rsidRPr="000A03F1" w:rsidRDefault="006345B0"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8.50</w:t>
            </w:r>
          </w:p>
        </w:tc>
        <w:tc>
          <w:tcPr>
            <w:tcW w:w="720" w:type="pct"/>
            <w:tcBorders>
              <w:top w:val="single" w:sz="8" w:space="0" w:color="000000"/>
              <w:left w:val="single" w:sz="8" w:space="0" w:color="000000"/>
              <w:bottom w:val="single" w:sz="8" w:space="0" w:color="000000"/>
              <w:right w:val="single" w:sz="8" w:space="0" w:color="000000"/>
            </w:tcBorders>
          </w:tcPr>
          <w:p w14:paraId="64305314" w14:textId="1C00AD31" w:rsidR="008A185C" w:rsidRPr="000A03F1" w:rsidRDefault="00636BA6"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Month</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2CF01A2E" w14:textId="2ABB6177" w:rsidR="008A185C" w:rsidRPr="000A03F1" w:rsidRDefault="00A1123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Seasonal lag in age group B</w:t>
            </w:r>
          </w:p>
        </w:tc>
        <w:tc>
          <w:tcPr>
            <w:tcW w:w="1408" w:type="pct"/>
            <w:tcBorders>
              <w:top w:val="single" w:sz="8" w:space="0" w:color="000000"/>
              <w:left w:val="single" w:sz="8" w:space="0" w:color="000000"/>
              <w:bottom w:val="single" w:sz="8" w:space="0" w:color="000000"/>
              <w:right w:val="single" w:sz="8" w:space="0" w:color="000000"/>
            </w:tcBorders>
          </w:tcPr>
          <w:p w14:paraId="1229307A" w14:textId="4711EF0D" w:rsidR="008A185C" w:rsidRPr="000A03F1" w:rsidRDefault="00DD0FE3"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33437009"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12E2A49C" w14:textId="38DF4883"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ο</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1BD1B9AF"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1/365</w:t>
            </w:r>
          </w:p>
        </w:tc>
        <w:tc>
          <w:tcPr>
            <w:tcW w:w="720" w:type="pct"/>
            <w:tcBorders>
              <w:top w:val="single" w:sz="8" w:space="0" w:color="000000"/>
              <w:left w:val="single" w:sz="8" w:space="0" w:color="000000"/>
              <w:bottom w:val="single" w:sz="8" w:space="0" w:color="000000"/>
              <w:right w:val="single" w:sz="8" w:space="0" w:color="000000"/>
            </w:tcBorders>
          </w:tcPr>
          <w:p w14:paraId="57CD2D37"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54C6B1F"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Immune waning rate</w:t>
            </w:r>
          </w:p>
        </w:tc>
        <w:tc>
          <w:tcPr>
            <w:tcW w:w="1408" w:type="pct"/>
            <w:tcBorders>
              <w:top w:val="single" w:sz="8" w:space="0" w:color="000000"/>
              <w:left w:val="single" w:sz="8" w:space="0" w:color="000000"/>
              <w:bottom w:val="single" w:sz="8" w:space="0" w:color="000000"/>
              <w:right w:val="single" w:sz="8" w:space="0" w:color="000000"/>
            </w:tcBorders>
          </w:tcPr>
          <w:p w14:paraId="0FB683CB" w14:textId="2FFC3DF1"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480550" w:rsidRPr="000A03F1">
              <w:rPr>
                <w:rFonts w:ascii="Times New Roman" w:hAnsi="Times New Roman" w:cs="Times New Roman"/>
                <w:sz w:val="24"/>
                <w:szCs w:val="24"/>
              </w:rPr>
              <w:instrText xml:space="preserve"> ADDIN ZOTERO_ITEM CSL_CITATION {"citationID":"OLhCutes","properties":{"formattedCitation":"(33)","plainCitation":"(33)","noteIndex":0},"citationItems":[{"id":510,"uris":["http://zotero.org/users/10607232/items/HZAHK79K"],"itemData":{"id":510,"type":"article-journal","abstract":"Dengue hemorrhagic fever (DHF) is a potentially fatal manifestation of an infection with the mosquito-borne dengue virus. Because of the social and economic costs of DHF, many countries in Asia and South America have initiated public health measures aimed at vector control. Despite these measures, DHF incidence rates do not appear to be declining. The effectiveness of vector control in reducing dengue transmissibility has thereby been questioned. Here, we revisit this conclusion using epidemiological data from Thailand. We first show, with age incidence data, that dengue transmission rates have fallen since 1981; surprisingly, however, these declines are not associated with decreases in DHF incidence. Instead, district-level analyses indicate a nonmonotonic relationship between the basic reproductive number\n              R\n              0\n              and DHF incidence. To understand this relationship, we formulated three mathematical models, which differ in their assumptions of transient between-serotype cross-protection. Unlike the first two models, the previously unconsidered third model with clinical cross-protection can reproduce this nonmonotonic relationship. Simulation of this model with nonstationary\n              R\n              0\n              reproduces several previously unexplained patterns of dengue dynamics, including a transition from a ≈2-year cycle to a ≈4-year cycle and a transient trough in DHF incidence in provinces with rapid\n              R\n              0\n              declines. These results imply that DHF incidence can be effectively controlled with a sufficiently large reduction in\n              R\n              0\n              but that moderate reductions may be counterproductive. More broadly, these results show that assuming parameter stationarity in systems with approximate stationarity in disease incidence is unjustified and may result in missed opportunities to understand the drivers of disease variability.","container-title":"Proceedings of the National Academy of Sciences","DOI":"10.1073/pnas.0709029105","ISSN":"0027-8424, 1091-6490","issue":"6","journalAbbreviation":"Proc. Natl. Acad. Sci. U.S.A.","language":"en","page":"2238-2243","source":"DOI.org (Crossref)","title":"Decreases in dengue transmission may act to increase the incidence of dengue hemorrhagic fever","volume":"105","author":[{"family":"Nagao","given":"Yoshiro"},{"family":"Koelle","given":"Katia"}],"issued":{"date-parts":[["2008",2,12]]}}}],"schema":"https://github.com/citation-style-language/schema/raw/master/csl-citation.json"} </w:instrText>
            </w:r>
            <w:r w:rsidRPr="000A03F1">
              <w:rPr>
                <w:rFonts w:ascii="Times New Roman" w:hAnsi="Times New Roman" w:cs="Times New Roman"/>
                <w:sz w:val="24"/>
                <w:szCs w:val="24"/>
              </w:rPr>
              <w:fldChar w:fldCharType="separate"/>
            </w:r>
            <w:r w:rsidR="00480550" w:rsidRPr="000A03F1">
              <w:rPr>
                <w:rFonts w:ascii="Times New Roman" w:hAnsi="Times New Roman" w:cs="Times New Roman"/>
                <w:sz w:val="24"/>
              </w:rPr>
              <w:t>(33)</w:t>
            </w:r>
            <w:r w:rsidRPr="000A03F1">
              <w:rPr>
                <w:rFonts w:ascii="Times New Roman" w:hAnsi="Times New Roman" w:cs="Times New Roman"/>
                <w:sz w:val="24"/>
                <w:szCs w:val="24"/>
              </w:rPr>
              <w:fldChar w:fldCharType="end"/>
            </w:r>
          </w:p>
          <w:p w14:paraId="67EABC37" w14:textId="77777777"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p>
        </w:tc>
      </w:tr>
      <w:tr w:rsidR="00B42FC3" w:rsidRPr="000A03F1" w14:paraId="00D2C0EF"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3D2DCBE2" w14:textId="095B3413"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β</w:t>
            </w:r>
            <w:r w:rsidR="00CE5A47" w:rsidRPr="00894BA3">
              <w:rPr>
                <w:rFonts w:ascii="Times New Roman" w:eastAsia="Calibri" w:hAnsi="Times New Roman" w:cs="Times New Roman"/>
                <w:sz w:val="24"/>
                <w:szCs w:val="24"/>
                <w:vertAlign w:val="subscript"/>
              </w:rPr>
              <w:t>A</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0F362F0" w14:textId="2C28BF93"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0.50</w:t>
            </w:r>
            <w:r w:rsidR="00226ACA" w:rsidRPr="000A03F1">
              <w:rPr>
                <w:rFonts w:ascii="Times New Roman" w:eastAsia="Calibri" w:hAnsi="Times New Roman" w:cs="Times New Roman"/>
                <w:sz w:val="24"/>
                <w:szCs w:val="24"/>
              </w:rPr>
              <w:t>1</w:t>
            </w:r>
          </w:p>
        </w:tc>
        <w:tc>
          <w:tcPr>
            <w:tcW w:w="720" w:type="pct"/>
            <w:tcBorders>
              <w:top w:val="single" w:sz="8" w:space="0" w:color="000000"/>
              <w:left w:val="single" w:sz="8" w:space="0" w:color="000000"/>
              <w:bottom w:val="single" w:sz="8" w:space="0" w:color="000000"/>
              <w:right w:val="single" w:sz="8" w:space="0" w:color="000000"/>
            </w:tcBorders>
          </w:tcPr>
          <w:p w14:paraId="34274FC1"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632B6C4A"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Basic reproduction rate of group A</w:t>
            </w:r>
          </w:p>
        </w:tc>
        <w:tc>
          <w:tcPr>
            <w:tcW w:w="1408" w:type="pct"/>
            <w:tcBorders>
              <w:top w:val="single" w:sz="8" w:space="0" w:color="000000"/>
              <w:left w:val="single" w:sz="8" w:space="0" w:color="000000"/>
              <w:bottom w:val="single" w:sz="8" w:space="0" w:color="000000"/>
              <w:right w:val="single" w:sz="8" w:space="0" w:color="000000"/>
            </w:tcBorders>
          </w:tcPr>
          <w:p w14:paraId="13E6302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3833891B"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30404619" w14:textId="3C4DA87B"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β</w:t>
            </w:r>
            <w:r w:rsidR="00CE5A47" w:rsidRPr="00894BA3">
              <w:rPr>
                <w:rFonts w:ascii="Times New Roman" w:eastAsia="Calibri" w:hAnsi="Times New Roman" w:cs="Times New Roman"/>
                <w:sz w:val="24"/>
                <w:szCs w:val="24"/>
                <w:vertAlign w:val="subscript"/>
              </w:rPr>
              <w:t>B</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CCE0C8B"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0.0714</w:t>
            </w:r>
          </w:p>
        </w:tc>
        <w:tc>
          <w:tcPr>
            <w:tcW w:w="720" w:type="pct"/>
            <w:tcBorders>
              <w:top w:val="single" w:sz="8" w:space="0" w:color="000000"/>
              <w:left w:val="single" w:sz="8" w:space="0" w:color="000000"/>
              <w:bottom w:val="single" w:sz="8" w:space="0" w:color="000000"/>
              <w:right w:val="single" w:sz="8" w:space="0" w:color="000000"/>
            </w:tcBorders>
          </w:tcPr>
          <w:p w14:paraId="77C3FF35"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35227A1F"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Basic reproduction rate of group B</w:t>
            </w:r>
          </w:p>
        </w:tc>
        <w:tc>
          <w:tcPr>
            <w:tcW w:w="1408" w:type="pct"/>
            <w:tcBorders>
              <w:top w:val="single" w:sz="8" w:space="0" w:color="000000"/>
              <w:left w:val="single" w:sz="8" w:space="0" w:color="000000"/>
              <w:bottom w:val="single" w:sz="8" w:space="0" w:color="000000"/>
              <w:right w:val="single" w:sz="8" w:space="0" w:color="000000"/>
            </w:tcBorders>
          </w:tcPr>
          <w:p w14:paraId="06B3BBA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3FB42A9B"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2C1F9F8F" w14:textId="7E1F4641"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θ</w:t>
            </w:r>
            <w:r w:rsidR="00CE5A47" w:rsidRPr="00894BA3">
              <w:rPr>
                <w:rFonts w:ascii="Times New Roman" w:eastAsia="Calibri" w:hAnsi="Times New Roman" w:cs="Times New Roman"/>
                <w:sz w:val="24"/>
                <w:szCs w:val="24"/>
                <w:vertAlign w:val="subscript"/>
              </w:rPr>
              <w:t>i</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5439071E" w14:textId="07048D28"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0.1</w:t>
            </w:r>
            <w:r w:rsidR="0023622D">
              <w:rPr>
                <w:rFonts w:ascii="Times New Roman" w:eastAsia="Calibri" w:hAnsi="Times New Roman" w:cs="Times New Roman"/>
                <w:sz w:val="24"/>
                <w:szCs w:val="24"/>
              </w:rPr>
              <w:t>2</w:t>
            </w:r>
          </w:p>
        </w:tc>
        <w:tc>
          <w:tcPr>
            <w:tcW w:w="720" w:type="pct"/>
            <w:tcBorders>
              <w:top w:val="single" w:sz="8" w:space="0" w:color="000000"/>
              <w:left w:val="single" w:sz="8" w:space="0" w:color="000000"/>
              <w:bottom w:val="single" w:sz="8" w:space="0" w:color="000000"/>
              <w:right w:val="single" w:sz="8" w:space="0" w:color="000000"/>
            </w:tcBorders>
          </w:tcPr>
          <w:p w14:paraId="2AD2DF65"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6D0E2D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1st DHF to VCD</w:t>
            </w:r>
          </w:p>
        </w:tc>
        <w:tc>
          <w:tcPr>
            <w:tcW w:w="1408" w:type="pct"/>
            <w:tcBorders>
              <w:top w:val="single" w:sz="8" w:space="0" w:color="000000"/>
              <w:left w:val="single" w:sz="8" w:space="0" w:color="000000"/>
              <w:bottom w:val="single" w:sz="8" w:space="0" w:color="000000"/>
              <w:right w:val="single" w:sz="8" w:space="0" w:color="000000"/>
            </w:tcBorders>
          </w:tcPr>
          <w:p w14:paraId="469AE79C" w14:textId="50CD99F6" w:rsidR="00CE5A47" w:rsidRPr="000A03F1" w:rsidRDefault="00681D61"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{"citationID":"a1dnqvoqj0c","properties":{"formattedCitation":"(12,57)","plainCitation":"(12,57)","noteIndex":0},"citationItems":[{"id":528,"uris":["http://zotero.org/users/10607232/items/4E52IFIC"],"itemData":{"id":528,"type":"article-journal","abstract":"Background.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Pr>
                <w:rFonts w:ascii="Times New Roman" w:eastAsia="Calibri" w:hAnsi="Times New Roman" w:cs="Times New Roman"/>
                <w:sz w:val="24"/>
                <w:szCs w:val="24"/>
              </w:rPr>
              <w:fldChar w:fldCharType="separate"/>
            </w:r>
            <w:r w:rsidRPr="00681D61">
              <w:rPr>
                <w:rFonts w:ascii="Times New Roman" w:hAnsi="Times New Roman" w:cs="Times New Roman"/>
                <w:sz w:val="24"/>
                <w:szCs w:val="24"/>
              </w:rPr>
              <w:t>(12,57)</w:t>
            </w:r>
            <w:r>
              <w:rPr>
                <w:rFonts w:ascii="Times New Roman" w:eastAsia="Calibri" w:hAnsi="Times New Roman" w:cs="Times New Roman"/>
                <w:sz w:val="24"/>
                <w:szCs w:val="24"/>
              </w:rPr>
              <w:fldChar w:fldCharType="end"/>
            </w:r>
          </w:p>
        </w:tc>
      </w:tr>
      <w:tr w:rsidR="00B42FC3" w:rsidRPr="000A03F1" w14:paraId="58C37CBE"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7DD35B77" w14:textId="60671106"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θ</w:t>
            </w:r>
            <w:r w:rsidR="00CE5A47" w:rsidRPr="00894BA3">
              <w:rPr>
                <w:rFonts w:ascii="Times New Roman" w:eastAsia="Calibri" w:hAnsi="Times New Roman" w:cs="Times New Roman"/>
                <w:sz w:val="24"/>
                <w:szCs w:val="24"/>
                <w:vertAlign w:val="subscript"/>
              </w:rPr>
              <w:t>ij</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3068D84C" w14:textId="54A7EED4"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0.22</w:t>
            </w:r>
          </w:p>
        </w:tc>
        <w:tc>
          <w:tcPr>
            <w:tcW w:w="720" w:type="pct"/>
            <w:tcBorders>
              <w:top w:val="single" w:sz="8" w:space="0" w:color="000000"/>
              <w:left w:val="single" w:sz="8" w:space="0" w:color="000000"/>
              <w:bottom w:val="single" w:sz="8" w:space="0" w:color="000000"/>
              <w:right w:val="single" w:sz="8" w:space="0" w:color="000000"/>
            </w:tcBorders>
          </w:tcPr>
          <w:p w14:paraId="413E9D06"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1A1AB89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2nd DHF to VCD</w:t>
            </w:r>
          </w:p>
        </w:tc>
        <w:tc>
          <w:tcPr>
            <w:tcW w:w="1408" w:type="pct"/>
            <w:tcBorders>
              <w:top w:val="single" w:sz="8" w:space="0" w:color="000000"/>
              <w:left w:val="single" w:sz="8" w:space="0" w:color="000000"/>
              <w:bottom w:val="single" w:sz="8" w:space="0" w:color="000000"/>
              <w:right w:val="single" w:sz="8" w:space="0" w:color="000000"/>
            </w:tcBorders>
          </w:tcPr>
          <w:p w14:paraId="0E2912D0" w14:textId="3C8007F6" w:rsidR="00CE5A47" w:rsidRPr="000A03F1" w:rsidRDefault="00681D61"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{"citationID":"09KDgElQ","properties":{"formattedCitation":"(12,57)","plainCitation":"(12,57)","noteIndex":0},"citationItems":[{"id":528,"uris":["http://zotero.org/users/10607232/items/4E52IFIC"],"itemData":{"id":528,"type":"article-journal","abstract":"Background.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Pr>
                <w:rFonts w:ascii="Times New Roman" w:eastAsia="Calibri" w:hAnsi="Times New Roman" w:cs="Times New Roman"/>
                <w:sz w:val="24"/>
                <w:szCs w:val="24"/>
              </w:rPr>
              <w:fldChar w:fldCharType="separate"/>
            </w:r>
            <w:r w:rsidRPr="00681D61">
              <w:rPr>
                <w:rFonts w:ascii="Times New Roman" w:hAnsi="Times New Roman" w:cs="Times New Roman"/>
                <w:sz w:val="24"/>
                <w:szCs w:val="24"/>
              </w:rPr>
              <w:t>(12,57)</w:t>
            </w:r>
            <w:r>
              <w:rPr>
                <w:rFonts w:ascii="Times New Roman" w:eastAsia="Calibri" w:hAnsi="Times New Roman" w:cs="Times New Roman"/>
                <w:sz w:val="24"/>
                <w:szCs w:val="24"/>
              </w:rPr>
              <w:fldChar w:fldCharType="end"/>
            </w:r>
          </w:p>
        </w:tc>
      </w:tr>
      <w:tr w:rsidR="00B42FC3" w:rsidRPr="000A03F1" w14:paraId="18C3D2D9"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E95744A" w14:textId="1A23EBC8"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φ</w:t>
            </w:r>
            <w:r w:rsidR="00CE5A47" w:rsidRPr="00894BA3">
              <w:rPr>
                <w:rFonts w:ascii="Times New Roman" w:eastAsia="Calibri" w:hAnsi="Times New Roman" w:cs="Times New Roman"/>
                <w:sz w:val="24"/>
                <w:szCs w:val="24"/>
                <w:vertAlign w:val="subscript"/>
              </w:rPr>
              <w:t>i</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69B30F9" w14:textId="498216CD"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0.10</w:t>
            </w:r>
          </w:p>
        </w:tc>
        <w:tc>
          <w:tcPr>
            <w:tcW w:w="720" w:type="pct"/>
            <w:tcBorders>
              <w:top w:val="single" w:sz="8" w:space="0" w:color="000000"/>
              <w:left w:val="single" w:sz="8" w:space="0" w:color="000000"/>
              <w:bottom w:val="single" w:sz="8" w:space="0" w:color="000000"/>
              <w:right w:val="single" w:sz="8" w:space="0" w:color="000000"/>
            </w:tcBorders>
          </w:tcPr>
          <w:p w14:paraId="2AB27E20"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1C9D57E9"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1st DF to dengue infection</w:t>
            </w:r>
          </w:p>
        </w:tc>
        <w:tc>
          <w:tcPr>
            <w:tcW w:w="1408" w:type="pct"/>
            <w:tcBorders>
              <w:top w:val="single" w:sz="8" w:space="0" w:color="000000"/>
              <w:left w:val="single" w:sz="8" w:space="0" w:color="000000"/>
              <w:bottom w:val="single" w:sz="8" w:space="0" w:color="000000"/>
              <w:right w:val="single" w:sz="8" w:space="0" w:color="000000"/>
            </w:tcBorders>
          </w:tcPr>
          <w:p w14:paraId="5B4247A8" w14:textId="202D2B4B" w:rsidR="00CE5A47" w:rsidRPr="000A03F1" w:rsidRDefault="00681D61"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{"citationID":"pMrhkOQk","properties":{"formattedCitation":"(12,57)","plainCitation":"(12,57)","noteIndex":0},"citationItems":[{"id":528,"uris":["http://zotero.org/users/10607232/items/4E52IFIC"],"itemData":{"id":528,"type":"article-journal","abstract":"Background.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Pr>
                <w:rFonts w:ascii="Times New Roman" w:eastAsia="Calibri" w:hAnsi="Times New Roman" w:cs="Times New Roman"/>
                <w:sz w:val="24"/>
                <w:szCs w:val="24"/>
              </w:rPr>
              <w:fldChar w:fldCharType="separate"/>
            </w:r>
            <w:r w:rsidRPr="00681D61">
              <w:rPr>
                <w:rFonts w:ascii="Times New Roman" w:hAnsi="Times New Roman" w:cs="Times New Roman"/>
                <w:sz w:val="24"/>
                <w:szCs w:val="24"/>
              </w:rPr>
              <w:t>(12,57)</w:t>
            </w:r>
            <w:r>
              <w:rPr>
                <w:rFonts w:ascii="Times New Roman" w:eastAsia="Calibri" w:hAnsi="Times New Roman" w:cs="Times New Roman"/>
                <w:sz w:val="24"/>
                <w:szCs w:val="24"/>
              </w:rPr>
              <w:fldChar w:fldCharType="end"/>
            </w:r>
          </w:p>
        </w:tc>
      </w:tr>
      <w:tr w:rsidR="00B42FC3" w:rsidRPr="000A03F1" w14:paraId="2E607908"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2B7C8801" w14:textId="0894DCE5"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φ</w:t>
            </w:r>
            <w:r w:rsidR="00CE5A47" w:rsidRPr="00894BA3">
              <w:rPr>
                <w:rFonts w:ascii="Times New Roman" w:eastAsia="Calibri" w:hAnsi="Times New Roman" w:cs="Times New Roman"/>
                <w:sz w:val="24"/>
                <w:szCs w:val="24"/>
                <w:vertAlign w:val="subscript"/>
              </w:rPr>
              <w:t>ij</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637A588A" w14:textId="1456E352"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w:t>
            </w:r>
            <w:r w:rsidR="0023622D">
              <w:rPr>
                <w:rFonts w:ascii="Times New Roman" w:eastAsia="Calibri" w:hAnsi="Times New Roman" w:cs="Times New Roman"/>
                <w:sz w:val="24"/>
                <w:szCs w:val="24"/>
              </w:rPr>
              <w:t>20</w:t>
            </w:r>
          </w:p>
        </w:tc>
        <w:tc>
          <w:tcPr>
            <w:tcW w:w="720" w:type="pct"/>
            <w:tcBorders>
              <w:top w:val="single" w:sz="8" w:space="0" w:color="000000"/>
              <w:left w:val="single" w:sz="8" w:space="0" w:color="000000"/>
              <w:bottom w:val="single" w:sz="8" w:space="0" w:color="000000"/>
              <w:right w:val="single" w:sz="8" w:space="0" w:color="000000"/>
            </w:tcBorders>
          </w:tcPr>
          <w:p w14:paraId="67A39F97"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B2E4E8F"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2nd DF to dengue infection</w:t>
            </w:r>
          </w:p>
        </w:tc>
        <w:tc>
          <w:tcPr>
            <w:tcW w:w="1408" w:type="pct"/>
            <w:tcBorders>
              <w:top w:val="single" w:sz="8" w:space="0" w:color="000000"/>
              <w:left w:val="single" w:sz="8" w:space="0" w:color="000000"/>
              <w:bottom w:val="single" w:sz="8" w:space="0" w:color="000000"/>
              <w:right w:val="single" w:sz="8" w:space="0" w:color="000000"/>
            </w:tcBorders>
          </w:tcPr>
          <w:p w14:paraId="0A886A3E" w14:textId="6C731A9A" w:rsidR="00CE5A47" w:rsidRPr="000A03F1" w:rsidRDefault="00681D61"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fldChar w:fldCharType="begin"/>
            </w:r>
            <w:r>
              <w:rPr>
                <w:rFonts w:ascii="Times New Roman" w:eastAsia="Calibri" w:hAnsi="Times New Roman" w:cs="Times New Roman"/>
                <w:sz w:val="24"/>
                <w:szCs w:val="24"/>
              </w:rPr>
              <w:instrText xml:space="preserve"> ADDIN ZOTERO_ITEM CSL_CITATION {"citationID":"js8EZsAc","properties":{"formattedCitation":"(12,57)","plainCitation":"(12,57)","noteIndex":0},"citationItems":[{"id":528,"uris":["http://zotero.org/users/10607232/items/4E52IFIC"],"itemData":{"id":528,"type":"article-journal","abstract":"Background.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Pr>
                <w:rFonts w:ascii="Times New Roman" w:eastAsia="Calibri" w:hAnsi="Times New Roman" w:cs="Times New Roman"/>
                <w:sz w:val="24"/>
                <w:szCs w:val="24"/>
              </w:rPr>
              <w:fldChar w:fldCharType="separate"/>
            </w:r>
            <w:r w:rsidRPr="00681D61">
              <w:rPr>
                <w:rFonts w:ascii="Times New Roman" w:hAnsi="Times New Roman" w:cs="Times New Roman"/>
                <w:sz w:val="24"/>
                <w:szCs w:val="24"/>
              </w:rPr>
              <w:t>(12,57)</w:t>
            </w:r>
            <w:r>
              <w:rPr>
                <w:rFonts w:ascii="Times New Roman" w:eastAsia="Calibri" w:hAnsi="Times New Roman" w:cs="Times New Roman"/>
                <w:sz w:val="24"/>
                <w:szCs w:val="24"/>
              </w:rPr>
              <w:fldChar w:fldCharType="end"/>
            </w:r>
          </w:p>
        </w:tc>
      </w:tr>
      <w:tr w:rsidR="00B42FC3" w:rsidRPr="000A03F1" w14:paraId="52FF03A4"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460FFDB3" w14:textId="1FC1E1C4"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ρ</w:t>
            </w:r>
            <w:r w:rsidR="00CE5A47" w:rsidRPr="00894BA3">
              <w:rPr>
                <w:rFonts w:ascii="Times New Roman" w:eastAsia="Calibri" w:hAnsi="Times New Roman" w:cs="Times New Roman"/>
                <w:sz w:val="24"/>
                <w:szCs w:val="24"/>
                <w:vertAlign w:val="subscript"/>
              </w:rPr>
              <w:t>i</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6E84950A"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0.78</w:t>
            </w:r>
          </w:p>
        </w:tc>
        <w:tc>
          <w:tcPr>
            <w:tcW w:w="720" w:type="pct"/>
            <w:tcBorders>
              <w:top w:val="single" w:sz="8" w:space="0" w:color="000000"/>
              <w:left w:val="single" w:sz="8" w:space="0" w:color="000000"/>
              <w:bottom w:val="single" w:sz="8" w:space="0" w:color="000000"/>
              <w:right w:val="single" w:sz="8" w:space="0" w:color="000000"/>
            </w:tcBorders>
          </w:tcPr>
          <w:p w14:paraId="6F5698BE"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682E917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subclinical 1st dengue to dengue infection</w:t>
            </w:r>
          </w:p>
        </w:tc>
        <w:tc>
          <w:tcPr>
            <w:tcW w:w="1408" w:type="pct"/>
            <w:tcBorders>
              <w:top w:val="single" w:sz="8" w:space="0" w:color="000000"/>
              <w:left w:val="single" w:sz="8" w:space="0" w:color="000000"/>
              <w:bottom w:val="single" w:sz="8" w:space="0" w:color="000000"/>
              <w:right w:val="single" w:sz="8" w:space="0" w:color="000000"/>
            </w:tcBorders>
          </w:tcPr>
          <w:p w14:paraId="5D8F06A6" w14:textId="03FFF2C6"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681D61">
              <w:rPr>
                <w:rFonts w:ascii="Times New Roman" w:hAnsi="Times New Roman" w:cs="Times New Roman"/>
                <w:sz w:val="24"/>
                <w:szCs w:val="24"/>
              </w:rPr>
              <w:instrText xml:space="preserve"> ADDIN ZOTERO_ITEM CSL_CITATION {"citationID":"a2gbc228j3b","properties":{"formattedCitation":"(12,57)","plainCitation":"(12,57)","noteIndex":0},"citationItems":[{"id":528,"uris":["http://zotero.org/users/10607232/items/4E52IFIC"],"itemData":{"id":528,"type":"article-journal","abstract":"Background.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sidRPr="000A03F1">
              <w:rPr>
                <w:rFonts w:ascii="Times New Roman" w:hAnsi="Times New Roman" w:cs="Times New Roman"/>
                <w:sz w:val="24"/>
                <w:szCs w:val="24"/>
              </w:rPr>
              <w:fldChar w:fldCharType="separate"/>
            </w:r>
            <w:r w:rsidR="00681D61" w:rsidRPr="00681D61">
              <w:rPr>
                <w:rFonts w:ascii="Times New Roman" w:hAnsi="Times New Roman" w:cs="Times New Roman"/>
                <w:sz w:val="24"/>
                <w:szCs w:val="24"/>
              </w:rPr>
              <w:t>(12,57)</w:t>
            </w:r>
            <w:r w:rsidRPr="000A03F1">
              <w:rPr>
                <w:rFonts w:ascii="Times New Roman" w:hAnsi="Times New Roman" w:cs="Times New Roman"/>
                <w:sz w:val="24"/>
                <w:szCs w:val="24"/>
              </w:rPr>
              <w:fldChar w:fldCharType="end"/>
            </w:r>
          </w:p>
        </w:tc>
      </w:tr>
      <w:tr w:rsidR="00B42FC3" w:rsidRPr="000A03F1" w14:paraId="6D4E3C8B"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1C3B95A7" w14:textId="783B3A9F"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ρ</w:t>
            </w:r>
            <w:r w:rsidR="00CE5A47" w:rsidRPr="00894BA3">
              <w:rPr>
                <w:rFonts w:ascii="Times New Roman" w:eastAsia="Calibri" w:hAnsi="Times New Roman" w:cs="Times New Roman"/>
                <w:sz w:val="24"/>
                <w:szCs w:val="24"/>
                <w:vertAlign w:val="subscript"/>
              </w:rPr>
              <w:t>ij</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34E8F0CD"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0.58</w:t>
            </w:r>
          </w:p>
        </w:tc>
        <w:tc>
          <w:tcPr>
            <w:tcW w:w="720" w:type="pct"/>
            <w:tcBorders>
              <w:top w:val="single" w:sz="8" w:space="0" w:color="000000"/>
              <w:left w:val="single" w:sz="8" w:space="0" w:color="000000"/>
              <w:bottom w:val="single" w:sz="8" w:space="0" w:color="000000"/>
              <w:right w:val="single" w:sz="8" w:space="0" w:color="000000"/>
            </w:tcBorders>
          </w:tcPr>
          <w:p w14:paraId="676AA6B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18B7855"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subclinical 2nd dengue to dengue infection</w:t>
            </w:r>
          </w:p>
        </w:tc>
        <w:tc>
          <w:tcPr>
            <w:tcW w:w="1408" w:type="pct"/>
            <w:tcBorders>
              <w:top w:val="single" w:sz="8" w:space="0" w:color="000000"/>
              <w:left w:val="single" w:sz="8" w:space="0" w:color="000000"/>
              <w:bottom w:val="single" w:sz="8" w:space="0" w:color="000000"/>
              <w:right w:val="single" w:sz="8" w:space="0" w:color="000000"/>
            </w:tcBorders>
          </w:tcPr>
          <w:p w14:paraId="5E93F5EC" w14:textId="7ECC8DC1"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681D61">
              <w:rPr>
                <w:rFonts w:ascii="Times New Roman" w:hAnsi="Times New Roman" w:cs="Times New Roman"/>
                <w:sz w:val="24"/>
                <w:szCs w:val="24"/>
              </w:rPr>
              <w:instrText xml:space="preserve"> ADDIN ZOTERO_ITEM CSL_CITATION {"citationID":"arb9a8o24q","properties":{"formattedCitation":"(12,57)","plainCitation":"(12,57)","noteIndex":0},"citationItems":[{"id":584,"uris":["http://zotero.org/users/10607232/items/EIKP24AE"],"itemData":{"id":584,"type":"article-journal","container-title":"American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P."}],"issued":{"date-parts":[["2014",2,1]]}}}],"schema":"https://github.com/citation-style-language/schema/raw/master/csl-citation.json"} </w:instrText>
            </w:r>
            <w:r w:rsidRPr="000A03F1">
              <w:rPr>
                <w:rFonts w:ascii="Times New Roman" w:hAnsi="Times New Roman" w:cs="Times New Roman"/>
                <w:sz w:val="24"/>
                <w:szCs w:val="24"/>
              </w:rPr>
              <w:fldChar w:fldCharType="separate"/>
            </w:r>
            <w:r w:rsidR="00681D61" w:rsidRPr="00681D61">
              <w:rPr>
                <w:rFonts w:ascii="Times New Roman" w:hAnsi="Times New Roman" w:cs="Times New Roman"/>
                <w:sz w:val="24"/>
                <w:szCs w:val="24"/>
              </w:rPr>
              <w:t>(12,57)</w:t>
            </w:r>
            <w:r w:rsidRPr="000A03F1">
              <w:rPr>
                <w:rFonts w:ascii="Times New Roman" w:hAnsi="Times New Roman" w:cs="Times New Roman"/>
                <w:sz w:val="24"/>
                <w:szCs w:val="24"/>
              </w:rPr>
              <w:fldChar w:fldCharType="end"/>
            </w:r>
          </w:p>
        </w:tc>
      </w:tr>
      <w:tr w:rsidR="00B42FC3" w:rsidRPr="000A03F1" w14:paraId="328313AD"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D7595AE" w14:textId="6D759BA6"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π</w:t>
            </w:r>
            <w:proofErr w:type="spellStart"/>
            <w:r w:rsidR="00CE5A47" w:rsidRPr="00894BA3">
              <w:rPr>
                <w:rFonts w:ascii="Times New Roman" w:eastAsia="Calibri" w:hAnsi="Times New Roman" w:cs="Times New Roman"/>
                <w:sz w:val="24"/>
                <w:szCs w:val="24"/>
                <w:vertAlign w:val="subscript"/>
              </w:rPr>
              <w:t>i</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52FC37B6"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color w:val="548235"/>
                <w:sz w:val="24"/>
                <w:szCs w:val="24"/>
              </w:rPr>
            </w:pPr>
            <w:r w:rsidRPr="000A03F1">
              <w:rPr>
                <w:rFonts w:ascii="Times New Roman" w:eastAsia="Calibri" w:hAnsi="Times New Roman" w:cs="Times New Roman"/>
                <w:color w:val="548235"/>
                <w:sz w:val="24"/>
                <w:szCs w:val="24"/>
              </w:rPr>
              <w:t>0.22</w:t>
            </w:r>
          </w:p>
        </w:tc>
        <w:tc>
          <w:tcPr>
            <w:tcW w:w="720" w:type="pct"/>
            <w:tcBorders>
              <w:top w:val="single" w:sz="8" w:space="0" w:color="000000"/>
              <w:left w:val="single" w:sz="8" w:space="0" w:color="000000"/>
              <w:bottom w:val="single" w:sz="8" w:space="0" w:color="000000"/>
              <w:right w:val="single" w:sz="8" w:space="0" w:color="000000"/>
            </w:tcBorders>
          </w:tcPr>
          <w:p w14:paraId="30F21291"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51BF0929"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1st VCD to dengue infection</w:t>
            </w:r>
          </w:p>
        </w:tc>
        <w:tc>
          <w:tcPr>
            <w:tcW w:w="1408" w:type="pct"/>
            <w:tcBorders>
              <w:top w:val="single" w:sz="8" w:space="0" w:color="000000"/>
              <w:left w:val="single" w:sz="8" w:space="0" w:color="000000"/>
              <w:bottom w:val="single" w:sz="8" w:space="0" w:color="000000"/>
              <w:right w:val="single" w:sz="8" w:space="0" w:color="000000"/>
            </w:tcBorders>
          </w:tcPr>
          <w:p w14:paraId="28CF447C" w14:textId="10BCA1D9"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681D61">
              <w:rPr>
                <w:rFonts w:ascii="Times New Roman" w:hAnsi="Times New Roman" w:cs="Times New Roman"/>
                <w:sz w:val="24"/>
                <w:szCs w:val="24"/>
              </w:rPr>
              <w:instrText xml:space="preserve"> ADDIN ZOTERO_ITEM CSL_CITATION {"citationID":"ahe1btm25v","properties":{"formattedCitation":"(12,57)","plainCitation":"(12,57)","noteIndex":0},"citationItems":[{"id":528,"uris":["http://zotero.org/users/10607232/items/4E52IFIC"],"itemData":{"id":528,"type":"article-journal","abstract":"Background.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G."}],"issued":{"date-parts":[["2000",11,1]]}}}],"schema":"https://github.com/citation-style-language/schema/raw/master/csl-citation.json"} </w:instrText>
            </w:r>
            <w:r w:rsidRPr="000A03F1">
              <w:rPr>
                <w:rFonts w:ascii="Times New Roman" w:hAnsi="Times New Roman" w:cs="Times New Roman"/>
                <w:sz w:val="24"/>
                <w:szCs w:val="24"/>
              </w:rPr>
              <w:fldChar w:fldCharType="separate"/>
            </w:r>
            <w:r w:rsidR="00681D61" w:rsidRPr="00681D61">
              <w:rPr>
                <w:rFonts w:ascii="Times New Roman" w:hAnsi="Times New Roman" w:cs="Times New Roman"/>
                <w:sz w:val="24"/>
                <w:szCs w:val="24"/>
              </w:rPr>
              <w:t>(12,57)</w:t>
            </w:r>
            <w:r w:rsidRPr="000A03F1">
              <w:rPr>
                <w:rFonts w:ascii="Times New Roman" w:hAnsi="Times New Roman" w:cs="Times New Roman"/>
                <w:sz w:val="24"/>
                <w:szCs w:val="24"/>
              </w:rPr>
              <w:fldChar w:fldCharType="end"/>
            </w:r>
          </w:p>
        </w:tc>
      </w:tr>
      <w:tr w:rsidR="00B42FC3" w:rsidRPr="000A03F1" w14:paraId="11748123"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996AA63" w14:textId="0501F155" w:rsidR="00CE5A47" w:rsidRPr="00894BA3" w:rsidRDefault="00894BA3" w:rsidP="00B91342">
            <w:pPr>
              <w:tabs>
                <w:tab w:val="left" w:pos="384"/>
              </w:tabs>
              <w:spacing w:after="240" w:line="240" w:lineRule="auto"/>
              <w:contextualSpacing/>
              <w:rPr>
                <w:rFonts w:ascii="Times New Roman" w:eastAsia="Calibri" w:hAnsi="Times New Roman" w:cs="Times New Roman"/>
                <w:sz w:val="24"/>
                <w:szCs w:val="24"/>
                <w:vertAlign w:val="subscript"/>
              </w:rPr>
            </w:pPr>
            <w:r>
              <w:rPr>
                <w:rFonts w:ascii="Times New Roman" w:eastAsia="Calibri" w:hAnsi="Times New Roman" w:cs="Times New Roman"/>
                <w:sz w:val="24"/>
                <w:szCs w:val="24"/>
              </w:rPr>
              <w:t>π</w:t>
            </w:r>
            <w:proofErr w:type="spellStart"/>
            <w:r>
              <w:rPr>
                <w:rFonts w:ascii="Times New Roman" w:eastAsia="Calibri" w:hAnsi="Times New Roman" w:cs="Times New Roman"/>
                <w:sz w:val="24"/>
                <w:szCs w:val="24"/>
                <w:vertAlign w:val="subscript"/>
              </w:rPr>
              <w:t>ij</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5413904C"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color w:val="548235"/>
                <w:sz w:val="24"/>
                <w:szCs w:val="24"/>
              </w:rPr>
            </w:pPr>
            <w:r w:rsidRPr="000A03F1">
              <w:rPr>
                <w:rFonts w:ascii="Times New Roman" w:eastAsia="Calibri" w:hAnsi="Times New Roman" w:cs="Times New Roman"/>
                <w:color w:val="548235"/>
                <w:sz w:val="24"/>
                <w:szCs w:val="24"/>
              </w:rPr>
              <w:t>0.42</w:t>
            </w:r>
          </w:p>
        </w:tc>
        <w:tc>
          <w:tcPr>
            <w:tcW w:w="720" w:type="pct"/>
            <w:tcBorders>
              <w:top w:val="single" w:sz="8" w:space="0" w:color="000000"/>
              <w:left w:val="single" w:sz="8" w:space="0" w:color="000000"/>
              <w:bottom w:val="single" w:sz="8" w:space="0" w:color="000000"/>
              <w:right w:val="single" w:sz="8" w:space="0" w:color="000000"/>
            </w:tcBorders>
          </w:tcPr>
          <w:p w14:paraId="0D93A8E0"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4C2571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2nd VCD to dengue infection</w:t>
            </w:r>
          </w:p>
        </w:tc>
        <w:tc>
          <w:tcPr>
            <w:tcW w:w="1408" w:type="pct"/>
            <w:tcBorders>
              <w:top w:val="single" w:sz="8" w:space="0" w:color="000000"/>
              <w:left w:val="single" w:sz="8" w:space="0" w:color="000000"/>
              <w:bottom w:val="single" w:sz="8" w:space="0" w:color="000000"/>
              <w:right w:val="single" w:sz="8" w:space="0" w:color="000000"/>
            </w:tcBorders>
          </w:tcPr>
          <w:p w14:paraId="5E94E726" w14:textId="0562CC69"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681D61">
              <w:rPr>
                <w:rFonts w:ascii="Times New Roman" w:hAnsi="Times New Roman" w:cs="Times New Roman"/>
                <w:sz w:val="24"/>
                <w:szCs w:val="24"/>
              </w:rPr>
              <w:instrText xml:space="preserve"> ADDIN ZOTERO_ITEM CSL_CITATION {"citationID":"a1ld7me2mdq","properties":{"formattedCitation":"(12,57)","plainCitation":"(12,57)","noteIndex":0},"citationItems":[{"id":584,"uris":["http://zotero.org/users/10607232/items/EIKP24AE"],"itemData":{"id":584,"type":"article-journal","container-title":"American Journal of Epidemiology","DOI":"10.1093/aje/152.9.793","ISSN":"00029262","issue":"9","language":"en","page":"793-799","source":"DOI.org (Crossref)","title":"Epidemiologic Studies on Dengue in Santiago de Cuba, 1997","volume":"152","author":[{"family":"Guzman","given":"M. G."}],"issued":{"date-parts":[["2000",11,1]]}}},{"id":528,"uris":["http://zotero.org/users/10607232/items/4E52IFIC"],"itemData":{"id":528,"type":"article-journal","abstract":"Background. Despite the strong association between secondary dengue virus (DENV) infections and dengue hemorrhagic fever (DHF), the majority of secondary infections are subclinical or mild. The determinants of clinical severity remain unclear, though studies indicate a titer-dependent and time-dependent role of cross-protective antiDENV antibodies.\nMethods. Data from 2 sequential prospective cohort studies were analyzed for subclinical and symptomatic DENV infections in schoolchildren in Kamphaeng Phet, Thailand (1998–2002 and 2004–2007). Children experiencing ≥1 DENV infection were selected as the population for analysis (contributing 2169 person-years of follow-up).\nResults. In total, 1696 children had ≥1 DENV infection detected during their enrollment; 268 experienced 2 or more infections. A shorter time interval between infections was associated with subclinical infection in children seronegative for DENV at enrollment, for whom a second-detected DENV infection is more likely to reﬂect a true second infection (average of 2.6 years between infections for DHF, 1.9 for DF, and 1.6 for subclinical infections).\nConclusions. These ﬁndings support a pathogenesis model where cross-reactive antibodies wane from highertiter, protective levels to lower-titer, detrimental levels. This is one of the ﬁrst studies of human subjects to suggest a window of cross-protection following DENV infection since Sabin’s challenge studies in the 1940s.","container-title":"The Journal of Infectious Diseases","DOI":"10.1093/infdis/jit436","ISSN":"1537-6613, 0022-1899","issue":"3","language":"en","page":"360-368","source":"DOI.org (Crossref)","title":"A Shorter Time Interval Between First and Second Dengue Infections Is Associated With Protection From Clinical Illness in a School-based Cohort in Thailand","volume":"209","author":[{"family":"Anderson","given":"Kathryn B."},{"family":"Gibbons","given":"Robert V."},{"family":"Cummings","given":"Derek A.T."},{"family":"Nisalak","given":"Ananda"},{"family":"Green","given":"Sharone"},{"family":"Libraty","given":"Daniel H."},{"family":"Jarman","given":"Richard G."},{"family":"Srikiatkhachorn","given":"Anon"},{"family":"Mammen","given":"Mammen P."},{"family":"Darunee","given":"Buddhari"},{"family":"Yoon","given":"In-Kyu"},{"family":"Endy","given":"Timothy P."}],"issued":{"date-parts":[["2014",2,1]]}}}],"schema":"https://github.com/citation-style-language/schema/raw/master/csl-citation.json"} </w:instrText>
            </w:r>
            <w:r w:rsidRPr="000A03F1">
              <w:rPr>
                <w:rFonts w:ascii="Times New Roman" w:hAnsi="Times New Roman" w:cs="Times New Roman"/>
                <w:sz w:val="24"/>
                <w:szCs w:val="24"/>
              </w:rPr>
              <w:fldChar w:fldCharType="separate"/>
            </w:r>
            <w:r w:rsidR="00681D61" w:rsidRPr="00681D61">
              <w:rPr>
                <w:rFonts w:ascii="Times New Roman" w:hAnsi="Times New Roman" w:cs="Times New Roman"/>
                <w:sz w:val="24"/>
                <w:szCs w:val="24"/>
              </w:rPr>
              <w:t>(12,57)</w:t>
            </w:r>
            <w:r w:rsidRPr="000A03F1">
              <w:rPr>
                <w:rFonts w:ascii="Times New Roman" w:hAnsi="Times New Roman" w:cs="Times New Roman"/>
                <w:sz w:val="24"/>
                <w:szCs w:val="24"/>
              </w:rPr>
              <w:fldChar w:fldCharType="end"/>
            </w:r>
          </w:p>
        </w:tc>
      </w:tr>
      <w:tr w:rsidR="00B42FC3" w:rsidRPr="000A03F1" w14:paraId="6FADA3ED"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3D8AD782" w14:textId="6EFCEEE9"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roofErr w:type="spellStart"/>
            <w:r w:rsidRPr="000A03F1">
              <w:rPr>
                <w:rFonts w:ascii="Times New Roman" w:eastAsia="Calibri" w:hAnsi="Times New Roman" w:cs="Times New Roman"/>
                <w:sz w:val="24"/>
                <w:szCs w:val="24"/>
              </w:rPr>
              <w:t>h.dhf</w:t>
            </w:r>
            <w:r w:rsidRPr="00894BA3">
              <w:rPr>
                <w:rFonts w:ascii="Times New Roman" w:eastAsia="Calibri" w:hAnsi="Times New Roman" w:cs="Times New Roman"/>
                <w:sz w:val="24"/>
                <w:szCs w:val="24"/>
                <w:vertAlign w:val="subscript"/>
              </w:rPr>
              <w:t>i</w:t>
            </w:r>
            <w:r w:rsidR="00894BA3">
              <w:rPr>
                <w:rFonts w:ascii="Times New Roman" w:eastAsia="Calibri" w:hAnsi="Times New Roman" w:cs="Times New Roman"/>
                <w:sz w:val="24"/>
                <w:szCs w:val="24"/>
                <w:vertAlign w:val="subscript"/>
              </w:rPr>
              <w:t>,</w:t>
            </w:r>
            <w:r w:rsidRPr="00894BA3">
              <w:rPr>
                <w:rFonts w:ascii="Times New Roman" w:eastAsia="Calibri" w:hAnsi="Times New Roman" w:cs="Times New Roman"/>
                <w:sz w:val="24"/>
                <w:szCs w:val="24"/>
                <w:vertAlign w:val="subscript"/>
              </w:rPr>
              <w:t>A</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127A6E1F"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0.0297</w:t>
            </w:r>
          </w:p>
        </w:tc>
        <w:tc>
          <w:tcPr>
            <w:tcW w:w="720" w:type="pct"/>
            <w:tcBorders>
              <w:top w:val="single" w:sz="8" w:space="0" w:color="000000"/>
              <w:left w:val="single" w:sz="8" w:space="0" w:color="000000"/>
              <w:bottom w:val="single" w:sz="8" w:space="0" w:color="000000"/>
              <w:right w:val="single" w:sz="8" w:space="0" w:color="000000"/>
            </w:tcBorders>
          </w:tcPr>
          <w:p w14:paraId="7DDF5135"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7B3B5610"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1st DHF to dengue infection of group A (fitted)</w:t>
            </w:r>
          </w:p>
        </w:tc>
        <w:tc>
          <w:tcPr>
            <w:tcW w:w="1408" w:type="pct"/>
            <w:tcBorders>
              <w:top w:val="single" w:sz="8" w:space="0" w:color="000000"/>
              <w:left w:val="single" w:sz="8" w:space="0" w:color="000000"/>
              <w:bottom w:val="single" w:sz="8" w:space="0" w:color="000000"/>
              <w:right w:val="single" w:sz="8" w:space="0" w:color="000000"/>
            </w:tcBorders>
          </w:tcPr>
          <w:p w14:paraId="2E618EB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35CEC6AB"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7376AEEF" w14:textId="08A25E58"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roofErr w:type="spellStart"/>
            <w:r w:rsidRPr="000A03F1">
              <w:rPr>
                <w:rFonts w:ascii="Times New Roman" w:eastAsia="Calibri" w:hAnsi="Times New Roman" w:cs="Times New Roman"/>
                <w:sz w:val="24"/>
                <w:szCs w:val="24"/>
              </w:rPr>
              <w:lastRenderedPageBreak/>
              <w:t>h.dhf</w:t>
            </w:r>
            <w:r w:rsidRPr="00894BA3">
              <w:rPr>
                <w:rFonts w:ascii="Times New Roman" w:eastAsia="Calibri" w:hAnsi="Times New Roman" w:cs="Times New Roman"/>
                <w:sz w:val="24"/>
                <w:szCs w:val="24"/>
                <w:vertAlign w:val="subscript"/>
              </w:rPr>
              <w:t>ij</w:t>
            </w:r>
            <w:r w:rsidR="00894BA3">
              <w:rPr>
                <w:rFonts w:ascii="Times New Roman" w:eastAsia="Calibri" w:hAnsi="Times New Roman" w:cs="Times New Roman"/>
                <w:sz w:val="24"/>
                <w:szCs w:val="24"/>
              </w:rPr>
              <w:t>,</w:t>
            </w:r>
            <w:r w:rsidRPr="00894BA3">
              <w:rPr>
                <w:rFonts w:ascii="Times New Roman" w:eastAsia="Calibri" w:hAnsi="Times New Roman" w:cs="Times New Roman"/>
                <w:sz w:val="24"/>
                <w:szCs w:val="24"/>
                <w:vertAlign w:val="subscript"/>
              </w:rPr>
              <w:t>A</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2B220022"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0.0567</w:t>
            </w:r>
          </w:p>
        </w:tc>
        <w:tc>
          <w:tcPr>
            <w:tcW w:w="720" w:type="pct"/>
            <w:tcBorders>
              <w:top w:val="single" w:sz="8" w:space="0" w:color="000000"/>
              <w:left w:val="single" w:sz="8" w:space="0" w:color="000000"/>
              <w:bottom w:val="single" w:sz="8" w:space="0" w:color="000000"/>
              <w:right w:val="single" w:sz="8" w:space="0" w:color="000000"/>
            </w:tcBorders>
          </w:tcPr>
          <w:p w14:paraId="526BF530"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12AA0E4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2nd DHF to dengue infection of group A (fitted)</w:t>
            </w:r>
          </w:p>
        </w:tc>
        <w:tc>
          <w:tcPr>
            <w:tcW w:w="1408" w:type="pct"/>
            <w:tcBorders>
              <w:top w:val="single" w:sz="8" w:space="0" w:color="000000"/>
              <w:left w:val="single" w:sz="8" w:space="0" w:color="000000"/>
              <w:bottom w:val="single" w:sz="8" w:space="0" w:color="000000"/>
              <w:right w:val="single" w:sz="8" w:space="0" w:color="000000"/>
            </w:tcBorders>
          </w:tcPr>
          <w:p w14:paraId="20F36DFA"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14D3A19F"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8A86676" w14:textId="11E66FA2"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roofErr w:type="spellStart"/>
            <w:r w:rsidRPr="000A03F1">
              <w:rPr>
                <w:rFonts w:ascii="Times New Roman" w:eastAsia="Calibri" w:hAnsi="Times New Roman" w:cs="Times New Roman"/>
                <w:sz w:val="24"/>
                <w:szCs w:val="24"/>
              </w:rPr>
              <w:t>h.dhf</w:t>
            </w:r>
            <w:r w:rsidRPr="00894BA3">
              <w:rPr>
                <w:rFonts w:ascii="Times New Roman" w:eastAsia="Calibri" w:hAnsi="Times New Roman" w:cs="Times New Roman"/>
                <w:sz w:val="24"/>
                <w:szCs w:val="24"/>
                <w:vertAlign w:val="subscript"/>
              </w:rPr>
              <w:t>i</w:t>
            </w:r>
            <w:r w:rsidR="00894BA3" w:rsidRPr="00894BA3">
              <w:rPr>
                <w:rFonts w:ascii="Times New Roman" w:eastAsia="Calibri" w:hAnsi="Times New Roman" w:cs="Times New Roman"/>
                <w:sz w:val="24"/>
                <w:szCs w:val="24"/>
                <w:vertAlign w:val="subscript"/>
              </w:rPr>
              <w:t>,</w:t>
            </w:r>
            <w:r w:rsidRPr="00894BA3">
              <w:rPr>
                <w:rFonts w:ascii="Times New Roman" w:eastAsia="Calibri" w:hAnsi="Times New Roman" w:cs="Times New Roman"/>
                <w:sz w:val="24"/>
                <w:szCs w:val="24"/>
                <w:vertAlign w:val="subscript"/>
              </w:rPr>
              <w:t>B</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4F6F9CA0"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0.0292</w:t>
            </w:r>
          </w:p>
        </w:tc>
        <w:tc>
          <w:tcPr>
            <w:tcW w:w="720" w:type="pct"/>
            <w:tcBorders>
              <w:top w:val="single" w:sz="8" w:space="0" w:color="000000"/>
              <w:left w:val="single" w:sz="8" w:space="0" w:color="000000"/>
              <w:bottom w:val="single" w:sz="8" w:space="0" w:color="000000"/>
              <w:right w:val="single" w:sz="8" w:space="0" w:color="000000"/>
            </w:tcBorders>
          </w:tcPr>
          <w:p w14:paraId="07D88536"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187B2F5A"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1st DHF to dengue infection of group B (fitted)</w:t>
            </w:r>
          </w:p>
        </w:tc>
        <w:tc>
          <w:tcPr>
            <w:tcW w:w="1408" w:type="pct"/>
            <w:tcBorders>
              <w:top w:val="single" w:sz="8" w:space="0" w:color="000000"/>
              <w:left w:val="single" w:sz="8" w:space="0" w:color="000000"/>
              <w:bottom w:val="single" w:sz="8" w:space="0" w:color="000000"/>
              <w:right w:val="single" w:sz="8" w:space="0" w:color="000000"/>
            </w:tcBorders>
          </w:tcPr>
          <w:p w14:paraId="48D45527"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54C6618F"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15EC0C2F" w14:textId="2C2516CD"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roofErr w:type="spellStart"/>
            <w:r w:rsidRPr="000A03F1">
              <w:rPr>
                <w:rFonts w:ascii="Times New Roman" w:eastAsia="Calibri" w:hAnsi="Times New Roman" w:cs="Times New Roman"/>
                <w:sz w:val="24"/>
                <w:szCs w:val="24"/>
              </w:rPr>
              <w:t>h.dhf</w:t>
            </w:r>
            <w:r w:rsidRPr="00894BA3">
              <w:rPr>
                <w:rFonts w:ascii="Times New Roman" w:eastAsia="Calibri" w:hAnsi="Times New Roman" w:cs="Times New Roman"/>
                <w:sz w:val="24"/>
                <w:szCs w:val="24"/>
                <w:vertAlign w:val="subscript"/>
              </w:rPr>
              <w:t>ij</w:t>
            </w:r>
            <w:r w:rsidR="00894BA3">
              <w:rPr>
                <w:rFonts w:ascii="Times New Roman" w:eastAsia="Calibri" w:hAnsi="Times New Roman" w:cs="Times New Roman"/>
                <w:sz w:val="24"/>
                <w:szCs w:val="24"/>
                <w:vertAlign w:val="subscript"/>
              </w:rPr>
              <w:t>,B</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1B9C1C20"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0.0572</w:t>
            </w:r>
          </w:p>
        </w:tc>
        <w:tc>
          <w:tcPr>
            <w:tcW w:w="720" w:type="pct"/>
            <w:tcBorders>
              <w:top w:val="single" w:sz="8" w:space="0" w:color="000000"/>
              <w:left w:val="single" w:sz="8" w:space="0" w:color="000000"/>
              <w:bottom w:val="single" w:sz="8" w:space="0" w:color="000000"/>
              <w:right w:val="single" w:sz="8" w:space="0" w:color="000000"/>
            </w:tcBorders>
          </w:tcPr>
          <w:p w14:paraId="4EEFC22E"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5EF92E49"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proportion of 2nd DHF to dengue infection of group B (fitted)</w:t>
            </w:r>
          </w:p>
        </w:tc>
        <w:tc>
          <w:tcPr>
            <w:tcW w:w="1408" w:type="pct"/>
            <w:tcBorders>
              <w:top w:val="single" w:sz="8" w:space="0" w:color="000000"/>
              <w:left w:val="single" w:sz="8" w:space="0" w:color="000000"/>
              <w:bottom w:val="single" w:sz="8" w:space="0" w:color="000000"/>
              <w:right w:val="single" w:sz="8" w:space="0" w:color="000000"/>
            </w:tcBorders>
          </w:tcPr>
          <w:p w14:paraId="18717C9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Model fitting</w:t>
            </w:r>
          </w:p>
        </w:tc>
      </w:tr>
      <w:tr w:rsidR="00B42FC3" w:rsidRPr="000A03F1" w14:paraId="1112BCB1"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9999293" w14:textId="301DAFAE"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ω</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7398F342"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0.002739726</w:t>
            </w:r>
          </w:p>
        </w:tc>
        <w:tc>
          <w:tcPr>
            <w:tcW w:w="720" w:type="pct"/>
            <w:tcBorders>
              <w:top w:val="single" w:sz="8" w:space="0" w:color="000000"/>
              <w:left w:val="single" w:sz="8" w:space="0" w:color="000000"/>
              <w:bottom w:val="single" w:sz="8" w:space="0" w:color="000000"/>
              <w:right w:val="single" w:sz="8" w:space="0" w:color="000000"/>
            </w:tcBorders>
          </w:tcPr>
          <w:p w14:paraId="4DB90D5B"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4F4248EE"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Heterologous protective immunity waning rate</w:t>
            </w:r>
          </w:p>
        </w:tc>
        <w:tc>
          <w:tcPr>
            <w:tcW w:w="1408" w:type="pct"/>
            <w:tcBorders>
              <w:top w:val="single" w:sz="8" w:space="0" w:color="000000"/>
              <w:left w:val="single" w:sz="8" w:space="0" w:color="000000"/>
              <w:bottom w:val="single" w:sz="8" w:space="0" w:color="000000"/>
              <w:right w:val="single" w:sz="8" w:space="0" w:color="000000"/>
            </w:tcBorders>
          </w:tcPr>
          <w:p w14:paraId="3CF4A961"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Assumed</w:t>
            </w:r>
          </w:p>
        </w:tc>
      </w:tr>
      <w:tr w:rsidR="00B42FC3" w:rsidRPr="000A03F1" w14:paraId="674ABAB8"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16DD8C99" w14:textId="02132233" w:rsidR="00CE5A47" w:rsidRPr="000A03F1" w:rsidRDefault="00894BA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τ</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4C678932"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1/14</w:t>
            </w:r>
          </w:p>
        </w:tc>
        <w:tc>
          <w:tcPr>
            <w:tcW w:w="720" w:type="pct"/>
            <w:tcBorders>
              <w:top w:val="single" w:sz="8" w:space="0" w:color="000000"/>
              <w:left w:val="single" w:sz="8" w:space="0" w:color="000000"/>
              <w:bottom w:val="single" w:sz="8" w:space="0" w:color="000000"/>
              <w:right w:val="single" w:sz="8" w:space="0" w:color="000000"/>
            </w:tcBorders>
          </w:tcPr>
          <w:p w14:paraId="3B07252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1C29D2F1" w14:textId="11D3CD62" w:rsidR="00CE5A47" w:rsidRPr="000A03F1" w:rsidRDefault="00DE1113"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Loss of infectiousness</w:t>
            </w:r>
            <w:r w:rsidR="00CE5A47" w:rsidRPr="000A03F1">
              <w:rPr>
                <w:rFonts w:ascii="Times New Roman" w:eastAsia="Calibri" w:hAnsi="Times New Roman" w:cs="Times New Roman"/>
                <w:sz w:val="24"/>
                <w:szCs w:val="24"/>
              </w:rPr>
              <w:t xml:space="preserve"> rate</w:t>
            </w:r>
          </w:p>
        </w:tc>
        <w:tc>
          <w:tcPr>
            <w:tcW w:w="1408" w:type="pct"/>
            <w:tcBorders>
              <w:top w:val="single" w:sz="8" w:space="0" w:color="000000"/>
              <w:left w:val="nil"/>
              <w:bottom w:val="single" w:sz="8" w:space="0" w:color="000000"/>
              <w:right w:val="single" w:sz="8" w:space="0" w:color="auto"/>
            </w:tcBorders>
          </w:tcPr>
          <w:p w14:paraId="0B8E25BF" w14:textId="744196A8"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6D6FC5">
              <w:rPr>
                <w:rFonts w:ascii="Times New Roman" w:hAnsi="Times New Roman" w:cs="Times New Roman"/>
                <w:sz w:val="24"/>
                <w:szCs w:val="24"/>
              </w:rPr>
              <w:instrText xml:space="preserve"> ADDIN ZOTERO_ITEM CSL_CITATION {"citationID":"a4onnh8349","properties":{"formattedCitation":"(33,58)","plainCitation":"(33,58)","noteIndex":0},"citationItems":[{"id":510,"uris":["http://zotero.org/users/10607232/items/HZAHK79K"],"itemData":{"id":510,"type":"article-journal","abstract":"Dengue hemorrhagic fever (DHF) is a potentially fatal manifestation of an infection with the mosquito-borne dengue virus. Because of the social and economic costs of DHF, many countries in Asia and South America have initiated public health measures aimed at vector control. Despite these measures, DHF incidence rates do not appear to be declining. The effectiveness of vector control in reducing dengue transmissibility has thereby been questioned. Here, we revisit this conclusion using epidemiological data from Thailand. We first show, with age incidence data, that dengue transmission rates have fallen since 1981; surprisingly, however, these declines are not associated with decreases in DHF incidence. Instead, district-level analyses indicate a nonmonotonic relationship between the basic reproductive number\n              R\n              0\n              and DHF incidence. To understand this relationship, we formulated three mathematical models, which differ in their assumptions of transient between-serotype cross-protection. Unlike the first two models, the previously unconsidered third model with clinical cross-protection can reproduce this nonmonotonic relationship. Simulation of this model with nonstationary\n              R\n              0\n              reproduces several previously unexplained patterns of dengue dynamics, including a transition from a ≈2-year cycle to a ≈4-year cycle and a transient trough in DHF incidence in provinces with rapid\n              R\n              0\n              declines. These results imply that DHF incidence can be effectively controlled with a sufficiently large reduction in\n              R\n              0\n              but that moderate reductions may be counterproductive. More broadly, these results show that assuming parameter stationarity in systems with approximate stationarity in disease incidence is unjustified and may result in missed opportunities to understand the drivers of disease variability.","container-title":"Proceedings of the National Academy of Sciences","DOI":"10.1073/pnas.0709029105","ISSN":"0027-8424, 1091-6490","issue":"6","journalAbbreviation":"Proc. Natl. Acad. Sci. U.S.A.","language":"en","page":"2238-2243","source":"DOI.org (Crossref)","title":"Decreases in dengue transmission may act to increase the incidence of dengue hemorrhagic fever","volume":"105","author":[{"family":"Nagao","given":"Yoshiro"},{"family":"Koelle","given":"Katia"}],"issued":{"date-parts":[["2008",2,12]]}}},{"id":620,"uris":["http://zotero.org/users/10607232/items/SMHBSMEA"],"itemData":{"id":620,"type":"article-journal","abstract":"Dengue viruses are major contributors to illness and death globally. Here we analyze the extrinsic and intrinsic incubation periods (EIP and IIP), in the mosquito and human, respectively. We identified 146 EIP observations from 8 studies and 204 IIP observations from 35 studies. These data were fitted with censored Bayesian time-to-event models. The best-fitting temperature-dependent EIP model estimated that 95% of EIPs are between 5 and 33 days at 25uC, and 2 and 15 days at 30uC, with means of 15 and 6.5 days, respectively. The mean IIP estimate was 5.9 days, with 95% expected between days 3 and 10. Differences between serotypes were not identified for either incubation period. These incubation period models should be useful in clinical diagnosis, outbreak investigation, prevention and control efforts, and mathematical modeling of dengue virus transmission.","container-title":"PLoS ONE","DOI":"10.1371/journal.pone.0050972","ISSN":"1932-6203","issue":"11","journalAbbreviation":"PLoS ONE","language":"en","page":"e50972","source":"DOI.org (Crossref)","title":"The Incubation Periods of Dengue Viruses","volume":"7","author":[{"family":"Chan","given":"Miranda"},{"family":"Johansson","given":"Michael A."}],"editor":[{"family":"Vasilakis","given":"Nikos"}],"issued":{"date-parts":[["2012",11,30]]}}}],"schema":"https://github.com/citation-style-language/schema/raw/master/csl-citation.json"} </w:instrText>
            </w:r>
            <w:r w:rsidRPr="000A03F1">
              <w:rPr>
                <w:rFonts w:ascii="Times New Roman" w:hAnsi="Times New Roman" w:cs="Times New Roman"/>
                <w:sz w:val="24"/>
                <w:szCs w:val="24"/>
              </w:rPr>
              <w:fldChar w:fldCharType="separate"/>
            </w:r>
            <w:r w:rsidR="006D6FC5" w:rsidRPr="006D6FC5">
              <w:rPr>
                <w:rFonts w:ascii="Times New Roman" w:hAnsi="Times New Roman" w:cs="Times New Roman"/>
                <w:sz w:val="24"/>
                <w:szCs w:val="24"/>
              </w:rPr>
              <w:t>(33,58)</w:t>
            </w:r>
            <w:r w:rsidRPr="000A03F1">
              <w:rPr>
                <w:rFonts w:ascii="Times New Roman" w:hAnsi="Times New Roman" w:cs="Times New Roman"/>
                <w:sz w:val="24"/>
                <w:szCs w:val="24"/>
              </w:rPr>
              <w:fldChar w:fldCharType="end"/>
            </w:r>
          </w:p>
        </w:tc>
      </w:tr>
      <w:tr w:rsidR="00B42FC3" w:rsidRPr="000A03F1" w14:paraId="373405DC"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38EA16BC" w14:textId="12CD148D" w:rsidR="00CE5A47" w:rsidRPr="000A03F1" w:rsidRDefault="003A4BF0" w:rsidP="00B91342">
            <w:pPr>
              <w:tabs>
                <w:tab w:val="left" w:pos="384"/>
              </w:tabs>
              <w:spacing w:after="240" w:line="240" w:lineRule="auto"/>
              <w:contextualSpacing/>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μ</w:t>
            </w:r>
            <w:r w:rsidR="00CE5A47" w:rsidRPr="003A4BF0">
              <w:rPr>
                <w:rFonts w:ascii="Times New Roman" w:eastAsia="Calibri" w:hAnsi="Times New Roman" w:cs="Times New Roman"/>
                <w:sz w:val="24"/>
                <w:szCs w:val="24"/>
                <w:vertAlign w:val="subscript"/>
              </w:rPr>
              <w:t>dhf</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077707BC"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0.007</w:t>
            </w:r>
          </w:p>
        </w:tc>
        <w:tc>
          <w:tcPr>
            <w:tcW w:w="720" w:type="pct"/>
            <w:tcBorders>
              <w:top w:val="single" w:sz="8" w:space="0" w:color="000000"/>
              <w:left w:val="single" w:sz="8" w:space="0" w:color="000000"/>
              <w:bottom w:val="single" w:sz="8" w:space="0" w:color="000000"/>
              <w:right w:val="single" w:sz="8" w:space="0" w:color="000000"/>
            </w:tcBorders>
          </w:tcPr>
          <w:p w14:paraId="7C707E2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day</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2A57E1C"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Mortality rate of DHF cases</w:t>
            </w:r>
          </w:p>
        </w:tc>
        <w:tc>
          <w:tcPr>
            <w:tcW w:w="1408" w:type="pct"/>
            <w:tcBorders>
              <w:top w:val="single" w:sz="8" w:space="0" w:color="000000"/>
              <w:left w:val="single" w:sz="8" w:space="0" w:color="000000"/>
              <w:bottom w:val="single" w:sz="8" w:space="0" w:color="000000"/>
              <w:right w:val="single" w:sz="8" w:space="0" w:color="000000"/>
            </w:tcBorders>
          </w:tcPr>
          <w:p w14:paraId="21E3B218" w14:textId="02FDC365"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{"citationID":"HUDT1FKg","properties":{"formattedCitation":"(38)","plainCitation":"(38)","noteIndex":0},"citationItems":[{"id":572,"uris":["http://zotero.org/users/10607232/items/N24LQA3K"],"itemData":{"id":572,"type":"dataset","title":"Seksi Surveilans Epidemiologi dan Imunisasi","URL":"https://surveilans-dinkes.jakarta.go.id/sarsbaru/index.php","author":[{"family":"Health Department of Jakarta","given":""}],"accessed":{"date-parts":[["2023",8,8]]},"issued":{"date-parts":[["2023"]]}}}],"schema":"https://github.com/citation-style-language/schema/raw/master/csl-citation.json"}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(38)</w:t>
            </w:r>
            <w:r w:rsidRPr="000A03F1">
              <w:rPr>
                <w:rFonts w:ascii="Times New Roman" w:hAnsi="Times New Roman" w:cs="Times New Roman"/>
                <w:sz w:val="24"/>
                <w:szCs w:val="24"/>
              </w:rPr>
              <w:fldChar w:fldCharType="end"/>
            </w:r>
          </w:p>
        </w:tc>
      </w:tr>
      <w:tr w:rsidR="00B42FC3" w:rsidRPr="000A03F1" w14:paraId="567BCFB0"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1D189CF" w14:textId="43C37C74" w:rsidR="00CE5A47" w:rsidRPr="000A03F1" w:rsidRDefault="003A4BF0" w:rsidP="00B91342">
            <w:pPr>
              <w:tabs>
                <w:tab w:val="left" w:pos="384"/>
              </w:tabs>
              <w:spacing w:after="240"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υ</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3EA0AF94"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1/15</w:t>
            </w:r>
          </w:p>
        </w:tc>
        <w:tc>
          <w:tcPr>
            <w:tcW w:w="720" w:type="pct"/>
            <w:tcBorders>
              <w:top w:val="single" w:sz="8" w:space="0" w:color="000000"/>
              <w:left w:val="single" w:sz="8" w:space="0" w:color="000000"/>
              <w:bottom w:val="single" w:sz="8" w:space="0" w:color="000000"/>
              <w:right w:val="single" w:sz="8" w:space="0" w:color="000000"/>
            </w:tcBorders>
          </w:tcPr>
          <w:p w14:paraId="357C916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year</w:t>
            </w:r>
            <w:r w:rsidRPr="000A03F1">
              <w:rPr>
                <w:rFonts w:ascii="Times New Roman" w:eastAsia="Calibri" w:hAnsi="Times New Roman" w:cs="Times New Roman"/>
                <w:sz w:val="24"/>
                <w:szCs w:val="24"/>
                <w:vertAlign w:val="superscript"/>
              </w:rPr>
              <w:t>-1</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06E26DE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Ageing rate</w:t>
            </w:r>
          </w:p>
        </w:tc>
        <w:tc>
          <w:tcPr>
            <w:tcW w:w="1408" w:type="pct"/>
            <w:tcBorders>
              <w:top w:val="single" w:sz="8" w:space="0" w:color="000000"/>
              <w:left w:val="single" w:sz="8" w:space="0" w:color="000000"/>
              <w:bottom w:val="single" w:sz="8" w:space="0" w:color="000000"/>
              <w:right w:val="single" w:sz="8" w:space="0" w:color="000000"/>
            </w:tcBorders>
          </w:tcPr>
          <w:p w14:paraId="379E7F06"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Assumed</w:t>
            </w:r>
          </w:p>
        </w:tc>
      </w:tr>
      <w:tr w:rsidR="00B42FC3" w:rsidRPr="000A03F1" w14:paraId="290F9BE3"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66DB69DA"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spec</w:t>
            </w:r>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0A78C503"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0.934</w:t>
            </w:r>
          </w:p>
        </w:tc>
        <w:tc>
          <w:tcPr>
            <w:tcW w:w="720" w:type="pct"/>
            <w:tcBorders>
              <w:top w:val="single" w:sz="8" w:space="0" w:color="000000"/>
              <w:left w:val="single" w:sz="8" w:space="0" w:color="000000"/>
              <w:bottom w:val="single" w:sz="8" w:space="0" w:color="000000"/>
              <w:right w:val="single" w:sz="8" w:space="0" w:color="000000"/>
            </w:tcBorders>
          </w:tcPr>
          <w:p w14:paraId="562ABE62"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40D69B94"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Specificity of screening</w:t>
            </w:r>
          </w:p>
        </w:tc>
        <w:tc>
          <w:tcPr>
            <w:tcW w:w="1408" w:type="pct"/>
            <w:tcBorders>
              <w:top w:val="single" w:sz="8" w:space="0" w:color="000000"/>
              <w:left w:val="single" w:sz="8" w:space="0" w:color="000000"/>
              <w:bottom w:val="single" w:sz="8" w:space="0" w:color="000000"/>
              <w:right w:val="single" w:sz="8" w:space="0" w:color="000000"/>
            </w:tcBorders>
          </w:tcPr>
          <w:p w14:paraId="041B5EC7" w14:textId="1F8E76E8"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{"citationID":"iYx3UH1K","properties":{"formattedCitation":"(40)","plainCitation":"(40)","noteIndex":0},"citationItems":[{"id":582,"uris":["http://zotero.org/users/10607232/items/SA9A485U"],"itemData":{"id":582,"type":"article-journal","abstract":"Background Detection of dengue virus antibodies is important for understanding future dengue virus risk and for prevaccination screening. We aimed to evaluate the performance of a dengue IgG indirect ELISA in determining dengue seroprevalence in a cohort of children in the Philippines, using a focus reduction neutralisation test (FRNT) as the reference test.","container-title":"The Lancet Global Health","DOI":"10.1016/S2214-109X(20)30392-2","ISSN":"2214109X","issue":"1","journalAbbreviation":"The Lancet Global Health","language":"en","page":"e44-e51","source":"DOI.org (Crossref)","title":"Determining dengue virus serostatus by indirect IgG ELISA compared with focus reduction neutralisation test in children in Cebu, Philippines: a prospective population-based study","title-short":"Determining dengue virus serostatus by indirect IgG ELISA compared with focus reduction neutralisation test in children in Cebu, Philippines","volume":"9","author":[{"family":"Lopez","given":"Anna Lena"},{"family":"Adams","given":"Cameron"},{"family":"Ylade","given":"Michelle"},{"family":"Jadi","given":"Ramesh"},{"family":"Daag","given":"Jedas Veronica"},{"family":"Molloy","given":"Caitlyn T"},{"family":"Agrupis","given":"Kristal An"},{"family":"Kim","given":"Deok Ryun"},{"family":"Silva","given":"Maria Wilda"},{"family":"Yoon","given":"In-Kyu"},{"family":"White","given":"Laura"},{"family":"Deen","given":"Jacqueline"},{"family":"De Silva","given":"Aravinda M"}],"issued":{"date-parts":[["2021",1]]}}}],"schema":"https://github.com/citation-style-language/schema/raw/master/csl-citation.json"}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(40)</w:t>
            </w:r>
            <w:r w:rsidRPr="000A03F1">
              <w:rPr>
                <w:rFonts w:ascii="Times New Roman" w:hAnsi="Times New Roman" w:cs="Times New Roman"/>
                <w:sz w:val="24"/>
                <w:szCs w:val="24"/>
              </w:rPr>
              <w:fldChar w:fldCharType="end"/>
            </w:r>
          </w:p>
        </w:tc>
      </w:tr>
      <w:tr w:rsidR="00B42FC3" w:rsidRPr="000A03F1" w14:paraId="36179D9C" w14:textId="77777777" w:rsidTr="003A4417">
        <w:trPr>
          <w:trHeight w:val="300"/>
        </w:trPr>
        <w:tc>
          <w:tcPr>
            <w:tcW w:w="422" w:type="pct"/>
            <w:tcBorders>
              <w:top w:val="single" w:sz="8" w:space="0" w:color="000000"/>
              <w:left w:val="single" w:sz="8" w:space="0" w:color="000000"/>
              <w:bottom w:val="single" w:sz="8" w:space="0" w:color="000000"/>
              <w:right w:val="single" w:sz="8" w:space="0" w:color="000000"/>
            </w:tcBorders>
            <w:tcMar>
              <w:top w:w="0" w:type="dxa"/>
              <w:bottom w:w="0" w:type="dxa"/>
            </w:tcMar>
          </w:tcPr>
          <w:p w14:paraId="56DC11A7"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proofErr w:type="spellStart"/>
            <w:r w:rsidRPr="000A03F1">
              <w:rPr>
                <w:rFonts w:ascii="Times New Roman" w:eastAsia="Calibri" w:hAnsi="Times New Roman" w:cs="Times New Roman"/>
                <w:sz w:val="24"/>
                <w:szCs w:val="24"/>
              </w:rPr>
              <w:t>sens</w:t>
            </w:r>
            <w:proofErr w:type="spellEnd"/>
          </w:p>
        </w:tc>
        <w:tc>
          <w:tcPr>
            <w:tcW w:w="881" w:type="pct"/>
            <w:tcBorders>
              <w:top w:val="single" w:sz="8" w:space="0" w:color="000000"/>
              <w:left w:val="single" w:sz="8" w:space="0" w:color="000000"/>
              <w:bottom w:val="single" w:sz="8" w:space="0" w:color="000000"/>
              <w:right w:val="single" w:sz="8" w:space="0" w:color="000000"/>
            </w:tcBorders>
            <w:tcMar>
              <w:top w:w="0" w:type="dxa"/>
              <w:bottom w:w="0" w:type="dxa"/>
            </w:tcMar>
          </w:tcPr>
          <w:p w14:paraId="539E2ABA" w14:textId="77777777" w:rsidR="00CE5A47" w:rsidRPr="000A03F1" w:rsidRDefault="00CE5A47" w:rsidP="00B91342">
            <w:pPr>
              <w:tabs>
                <w:tab w:val="left" w:pos="384"/>
              </w:tabs>
              <w:spacing w:after="240" w:line="240" w:lineRule="auto"/>
              <w:contextualSpacing/>
              <w:jc w:val="right"/>
              <w:rPr>
                <w:rFonts w:ascii="Times New Roman" w:eastAsia="Calibri" w:hAnsi="Times New Roman" w:cs="Times New Roman"/>
                <w:sz w:val="24"/>
                <w:szCs w:val="24"/>
              </w:rPr>
            </w:pPr>
            <w:r w:rsidRPr="000A03F1">
              <w:rPr>
                <w:rFonts w:ascii="Times New Roman" w:eastAsia="Calibri" w:hAnsi="Times New Roman" w:cs="Times New Roman"/>
                <w:sz w:val="24"/>
                <w:szCs w:val="24"/>
              </w:rPr>
              <w:t>0.952</w:t>
            </w:r>
          </w:p>
        </w:tc>
        <w:tc>
          <w:tcPr>
            <w:tcW w:w="720" w:type="pct"/>
            <w:tcBorders>
              <w:top w:val="single" w:sz="8" w:space="0" w:color="000000"/>
              <w:left w:val="single" w:sz="8" w:space="0" w:color="000000"/>
              <w:bottom w:val="single" w:sz="8" w:space="0" w:color="000000"/>
              <w:right w:val="single" w:sz="8" w:space="0" w:color="000000"/>
            </w:tcBorders>
          </w:tcPr>
          <w:p w14:paraId="75DA1375"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w:t>
            </w:r>
          </w:p>
        </w:tc>
        <w:tc>
          <w:tcPr>
            <w:tcW w:w="1569" w:type="pct"/>
            <w:tcBorders>
              <w:top w:val="single" w:sz="8" w:space="0" w:color="000000"/>
              <w:left w:val="single" w:sz="8" w:space="0" w:color="000000"/>
              <w:bottom w:val="single" w:sz="8" w:space="0" w:color="000000"/>
              <w:right w:val="single" w:sz="8" w:space="0" w:color="000000"/>
            </w:tcBorders>
            <w:tcMar>
              <w:top w:w="0" w:type="dxa"/>
              <w:bottom w:w="0" w:type="dxa"/>
            </w:tcMar>
          </w:tcPr>
          <w:p w14:paraId="4A29734D" w14:textId="77777777" w:rsidR="00CE5A47" w:rsidRPr="000A03F1" w:rsidRDefault="00CE5A47" w:rsidP="00B91342">
            <w:pPr>
              <w:tabs>
                <w:tab w:val="left" w:pos="384"/>
              </w:tabs>
              <w:spacing w:after="240" w:line="24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Specificity of screening</w:t>
            </w:r>
          </w:p>
        </w:tc>
        <w:tc>
          <w:tcPr>
            <w:tcW w:w="1408" w:type="pct"/>
            <w:tcBorders>
              <w:top w:val="single" w:sz="8" w:space="0" w:color="000000"/>
              <w:left w:val="single" w:sz="8" w:space="0" w:color="000000"/>
              <w:bottom w:val="single" w:sz="8" w:space="0" w:color="000000"/>
              <w:right w:val="single" w:sz="8" w:space="0" w:color="000000"/>
            </w:tcBorders>
          </w:tcPr>
          <w:p w14:paraId="33393E4B" w14:textId="651685DD" w:rsidR="00CE5A47" w:rsidRPr="000A03F1" w:rsidRDefault="00CE5A47" w:rsidP="00B91342">
            <w:pPr>
              <w:tabs>
                <w:tab w:val="left" w:pos="384"/>
              </w:tabs>
              <w:spacing w:after="240" w:line="240" w:lineRule="auto"/>
              <w:contextualSpacing/>
              <w:rPr>
                <w:rFonts w:ascii="Times New Roman" w:hAnsi="Times New Roman" w:cs="Times New Roman"/>
                <w:sz w:val="24"/>
                <w:szCs w:val="24"/>
              </w:rPr>
            </w:pPr>
            <w:r w:rsidRPr="000A03F1">
              <w:rPr>
                <w:rFonts w:ascii="Times New Roman" w:hAnsi="Times New Roman" w:cs="Times New Roman"/>
                <w:sz w:val="24"/>
                <w:szCs w:val="24"/>
              </w:rPr>
              <w:fldChar w:fldCharType="begin"/>
            </w:r>
            <w:r w:rsidR="004B23C6" w:rsidRPr="000A03F1">
              <w:rPr>
                <w:rFonts w:ascii="Times New Roman" w:hAnsi="Times New Roman" w:cs="Times New Roman"/>
                <w:sz w:val="24"/>
                <w:szCs w:val="24"/>
              </w:rPr>
              <w:instrText xml:space="preserve"> ADDIN ZOTERO_ITEM CSL_CITATION {"citationID":"VYl1WIWp","properties":{"formattedCitation":"(40)","plainCitation":"(40)","noteIndex":0},"citationItems":[{"id":582,"uris":["http://zotero.org/users/10607232/items/SA9A485U"],"itemData":{"id":582,"type":"article-journal","abstract":"Background Detection of dengue virus antibodies is important for understanding future dengue virus risk and for prevaccination screening. We aimed to evaluate the performance of a dengue IgG indirect ELISA in determining dengue seroprevalence in a cohort of children in the Philippines, using a focus reduction neutralisation test (FRNT) as the reference test.","container-title":"The Lancet Global Health","DOI":"10.1016/S2214-109X(20)30392-2","ISSN":"2214109X","issue":"1","journalAbbreviation":"The Lancet Global Health","language":"en","page":"e44-e51","source":"DOI.org (Crossref)","title":"Determining dengue virus serostatus by indirect IgG ELISA compared with focus reduction neutralisation test in children in Cebu, Philippines: a prospective population-based study","title-short":"Determining dengue virus serostatus by indirect IgG ELISA compared with focus reduction neutralisation test in children in Cebu, Philippines","volume":"9","author":[{"family":"Lopez","given":"Anna Lena"},{"family":"Adams","given":"Cameron"},{"family":"Ylade","given":"Michelle"},{"family":"Jadi","given":"Ramesh"},{"family":"Daag","given":"Jedas Veronica"},{"family":"Molloy","given":"Caitlyn T"},{"family":"Agrupis","given":"Kristal An"},{"family":"Kim","given":"Deok Ryun"},{"family":"Silva","given":"Maria Wilda"},{"family":"Yoon","given":"In-Kyu"},{"family":"White","given":"Laura"},{"family":"Deen","given":"Jacqueline"},{"family":"De Silva","given":"Aravinda M"}],"issued":{"date-parts":[["2021",1]]}}}],"schema":"https://github.com/citation-style-language/schema/raw/master/csl-citation.json"} </w:instrText>
            </w:r>
            <w:r w:rsidRPr="000A03F1">
              <w:rPr>
                <w:rFonts w:ascii="Times New Roman" w:hAnsi="Times New Roman" w:cs="Times New Roman"/>
                <w:sz w:val="24"/>
                <w:szCs w:val="24"/>
              </w:rPr>
              <w:fldChar w:fldCharType="separate"/>
            </w:r>
            <w:r w:rsidR="004B23C6" w:rsidRPr="000A03F1">
              <w:rPr>
                <w:rFonts w:ascii="Times New Roman" w:hAnsi="Times New Roman" w:cs="Times New Roman"/>
                <w:sz w:val="24"/>
              </w:rPr>
              <w:t>(40)</w:t>
            </w:r>
            <w:r w:rsidRPr="000A03F1">
              <w:rPr>
                <w:rFonts w:ascii="Times New Roman" w:hAnsi="Times New Roman" w:cs="Times New Roman"/>
                <w:sz w:val="24"/>
                <w:szCs w:val="24"/>
              </w:rPr>
              <w:fldChar w:fldCharType="end"/>
            </w:r>
          </w:p>
        </w:tc>
      </w:tr>
    </w:tbl>
    <w:p w14:paraId="0E546875" w14:textId="77777777" w:rsidR="00CE5A47" w:rsidRPr="000A03F1" w:rsidRDefault="00CE5A47" w:rsidP="00741A05">
      <w:pPr>
        <w:tabs>
          <w:tab w:val="left" w:pos="384"/>
        </w:tabs>
        <w:spacing w:before="240"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sz w:val="24"/>
          <w:szCs w:val="24"/>
        </w:rPr>
        <w:t xml:space="preserve"> </w:t>
      </w:r>
    </w:p>
    <w:p w14:paraId="57380840" w14:textId="35786028"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sectPr w:rsidR="00CE5A47" w:rsidRPr="000A03F1">
          <w:pgSz w:w="15840" w:h="12240" w:orient="landscape"/>
          <w:pgMar w:top="1440" w:right="1440" w:bottom="1440" w:left="1440" w:header="720" w:footer="720" w:gutter="0"/>
          <w:cols w:space="720"/>
        </w:sectPr>
      </w:pPr>
    </w:p>
    <w:p w14:paraId="18B28FB8" w14:textId="64D3ACCD" w:rsidR="00CE5A47" w:rsidRPr="000A03F1" w:rsidRDefault="00CE5A47" w:rsidP="00741A05">
      <w:pPr>
        <w:spacing w:line="480" w:lineRule="auto"/>
        <w:contextualSpacing/>
        <w:rPr>
          <w:rFonts w:ascii="Times New Roman" w:hAnsi="Times New Roman" w:cs="Times New Roman"/>
          <w:sz w:val="20"/>
          <w:szCs w:val="20"/>
        </w:rPr>
      </w:pPr>
      <w:r w:rsidRPr="000A03F1">
        <w:rPr>
          <w:rFonts w:ascii="Times New Roman" w:hAnsi="Times New Roman" w:cs="Times New Roman"/>
          <w:b/>
          <w:bCs/>
          <w:sz w:val="20"/>
          <w:szCs w:val="20"/>
        </w:rPr>
        <w:lastRenderedPageBreak/>
        <w:t xml:space="preserve">Table S2. </w:t>
      </w:r>
      <w:r w:rsidRPr="000A03F1">
        <w:rPr>
          <w:rFonts w:ascii="Times New Roman" w:hAnsi="Times New Roman" w:cs="Times New Roman"/>
          <w:sz w:val="20"/>
          <w:szCs w:val="20"/>
        </w:rPr>
        <w:t xml:space="preserve">Outcomes of each scenario across 4 different assumptions.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00"/>
        <w:gridCol w:w="939"/>
        <w:gridCol w:w="955"/>
        <w:gridCol w:w="955"/>
        <w:gridCol w:w="955"/>
        <w:gridCol w:w="955"/>
        <w:gridCol w:w="955"/>
        <w:gridCol w:w="955"/>
        <w:gridCol w:w="955"/>
        <w:gridCol w:w="955"/>
        <w:gridCol w:w="955"/>
        <w:gridCol w:w="955"/>
        <w:gridCol w:w="955"/>
      </w:tblGrid>
      <w:tr w:rsidR="00CE5A47" w:rsidRPr="000A03F1" w14:paraId="31C0769D" w14:textId="77777777" w:rsidTr="00456197">
        <w:trPr>
          <w:trHeight w:val="154"/>
        </w:trPr>
        <w:tc>
          <w:tcPr>
            <w:tcW w:w="0" w:type="auto"/>
            <w:vMerge w:val="restart"/>
            <w:shd w:val="clear" w:color="auto" w:fill="auto"/>
            <w:tcMar>
              <w:top w:w="100" w:type="dxa"/>
              <w:left w:w="100" w:type="dxa"/>
              <w:bottom w:w="100" w:type="dxa"/>
              <w:right w:w="100" w:type="dxa"/>
            </w:tcMar>
          </w:tcPr>
          <w:p w14:paraId="15404310"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Scenario</w:t>
            </w:r>
          </w:p>
        </w:tc>
        <w:tc>
          <w:tcPr>
            <w:tcW w:w="0" w:type="auto"/>
            <w:gridSpan w:val="4"/>
            <w:shd w:val="clear" w:color="auto" w:fill="auto"/>
            <w:tcMar>
              <w:top w:w="100" w:type="dxa"/>
              <w:left w:w="100" w:type="dxa"/>
              <w:bottom w:w="100" w:type="dxa"/>
              <w:right w:w="100" w:type="dxa"/>
            </w:tcMar>
          </w:tcPr>
          <w:p w14:paraId="5D597FA6"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DHF cases averted in age group A</w:t>
            </w:r>
          </w:p>
        </w:tc>
        <w:tc>
          <w:tcPr>
            <w:tcW w:w="0" w:type="auto"/>
            <w:gridSpan w:val="4"/>
          </w:tcPr>
          <w:p w14:paraId="4D82DE0B"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DHF cases averted in age group B</w:t>
            </w:r>
          </w:p>
        </w:tc>
        <w:tc>
          <w:tcPr>
            <w:tcW w:w="0" w:type="auto"/>
            <w:gridSpan w:val="4"/>
          </w:tcPr>
          <w:p w14:paraId="308D2490"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Total DHF cases averted</w:t>
            </w:r>
          </w:p>
        </w:tc>
      </w:tr>
      <w:tr w:rsidR="00CE5A47" w:rsidRPr="000A03F1" w14:paraId="7B2A1900" w14:textId="77777777" w:rsidTr="00456197">
        <w:tc>
          <w:tcPr>
            <w:tcW w:w="0" w:type="auto"/>
            <w:vMerge/>
            <w:shd w:val="clear" w:color="auto" w:fill="auto"/>
            <w:tcMar>
              <w:top w:w="100" w:type="dxa"/>
              <w:left w:w="100" w:type="dxa"/>
              <w:bottom w:w="100" w:type="dxa"/>
              <w:right w:w="100" w:type="dxa"/>
            </w:tcMar>
          </w:tcPr>
          <w:p w14:paraId="3F9337C2"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p>
        </w:tc>
        <w:tc>
          <w:tcPr>
            <w:tcW w:w="0" w:type="auto"/>
            <w:shd w:val="clear" w:color="auto" w:fill="auto"/>
            <w:tcMar>
              <w:top w:w="100" w:type="dxa"/>
              <w:left w:w="100" w:type="dxa"/>
              <w:bottom w:w="100" w:type="dxa"/>
              <w:right w:w="100" w:type="dxa"/>
            </w:tcMar>
          </w:tcPr>
          <w:p w14:paraId="0DCED556"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1</w:t>
            </w:r>
          </w:p>
        </w:tc>
        <w:tc>
          <w:tcPr>
            <w:tcW w:w="0" w:type="auto"/>
          </w:tcPr>
          <w:p w14:paraId="52DAFF23"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2</w:t>
            </w:r>
          </w:p>
        </w:tc>
        <w:tc>
          <w:tcPr>
            <w:tcW w:w="0" w:type="auto"/>
          </w:tcPr>
          <w:p w14:paraId="367AB2B7"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3</w:t>
            </w:r>
          </w:p>
        </w:tc>
        <w:tc>
          <w:tcPr>
            <w:tcW w:w="0" w:type="auto"/>
          </w:tcPr>
          <w:p w14:paraId="1C26D785"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4</w:t>
            </w:r>
          </w:p>
        </w:tc>
        <w:tc>
          <w:tcPr>
            <w:tcW w:w="0" w:type="auto"/>
          </w:tcPr>
          <w:p w14:paraId="1926D645"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1</w:t>
            </w:r>
          </w:p>
        </w:tc>
        <w:tc>
          <w:tcPr>
            <w:tcW w:w="0" w:type="auto"/>
          </w:tcPr>
          <w:p w14:paraId="01F6DD74"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2</w:t>
            </w:r>
          </w:p>
        </w:tc>
        <w:tc>
          <w:tcPr>
            <w:tcW w:w="0" w:type="auto"/>
          </w:tcPr>
          <w:p w14:paraId="769A4A15"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3</w:t>
            </w:r>
          </w:p>
        </w:tc>
        <w:tc>
          <w:tcPr>
            <w:tcW w:w="0" w:type="auto"/>
          </w:tcPr>
          <w:p w14:paraId="18190883"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4</w:t>
            </w:r>
          </w:p>
        </w:tc>
        <w:tc>
          <w:tcPr>
            <w:tcW w:w="0" w:type="auto"/>
          </w:tcPr>
          <w:p w14:paraId="13683DF8"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1</w:t>
            </w:r>
          </w:p>
        </w:tc>
        <w:tc>
          <w:tcPr>
            <w:tcW w:w="0" w:type="auto"/>
          </w:tcPr>
          <w:p w14:paraId="211E054C"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2</w:t>
            </w:r>
          </w:p>
        </w:tc>
        <w:tc>
          <w:tcPr>
            <w:tcW w:w="0" w:type="auto"/>
          </w:tcPr>
          <w:p w14:paraId="17BE02EA"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3</w:t>
            </w:r>
          </w:p>
        </w:tc>
        <w:tc>
          <w:tcPr>
            <w:tcW w:w="0" w:type="auto"/>
          </w:tcPr>
          <w:p w14:paraId="6F82775D"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bCs/>
                <w:sz w:val="20"/>
                <w:szCs w:val="20"/>
              </w:rPr>
            </w:pPr>
            <w:r w:rsidRPr="000A03F1">
              <w:rPr>
                <w:rFonts w:ascii="Times New Roman" w:hAnsi="Times New Roman" w:cs="Times New Roman"/>
                <w:bCs/>
                <w:sz w:val="20"/>
                <w:szCs w:val="20"/>
              </w:rPr>
              <w:t>Timing 4</w:t>
            </w:r>
          </w:p>
        </w:tc>
      </w:tr>
      <w:tr w:rsidR="00CE5A47" w:rsidRPr="000A03F1" w14:paraId="46F0E0DB" w14:textId="77777777" w:rsidTr="00456197">
        <w:tc>
          <w:tcPr>
            <w:tcW w:w="0" w:type="auto"/>
            <w:shd w:val="clear" w:color="auto" w:fill="auto"/>
            <w:tcMar>
              <w:top w:w="100" w:type="dxa"/>
              <w:left w:w="100" w:type="dxa"/>
              <w:bottom w:w="100" w:type="dxa"/>
              <w:right w:w="100" w:type="dxa"/>
            </w:tcMar>
          </w:tcPr>
          <w:p w14:paraId="190E1CB3"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w:t>
            </w:r>
          </w:p>
        </w:tc>
        <w:tc>
          <w:tcPr>
            <w:tcW w:w="0" w:type="auto"/>
            <w:shd w:val="clear" w:color="auto" w:fill="auto"/>
            <w:tcMar>
              <w:top w:w="100" w:type="dxa"/>
              <w:left w:w="100" w:type="dxa"/>
              <w:bottom w:w="100" w:type="dxa"/>
              <w:right w:w="100" w:type="dxa"/>
            </w:tcMar>
          </w:tcPr>
          <w:p w14:paraId="4D6FB0B4" w14:textId="3AAD86EE"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4949A8">
              <w:rPr>
                <w:rFonts w:ascii="Times New Roman" w:hAnsi="Times New Roman" w:cs="Times New Roman"/>
                <w:sz w:val="20"/>
                <w:szCs w:val="20"/>
              </w:rPr>
              <w:t>0</w:t>
            </w:r>
            <w:r w:rsidRPr="000A03F1">
              <w:rPr>
                <w:rFonts w:ascii="Times New Roman" w:hAnsi="Times New Roman" w:cs="Times New Roman"/>
                <w:sz w:val="20"/>
                <w:szCs w:val="20"/>
              </w:rPr>
              <w:t>%</w:t>
            </w:r>
          </w:p>
        </w:tc>
        <w:tc>
          <w:tcPr>
            <w:tcW w:w="0" w:type="auto"/>
          </w:tcPr>
          <w:p w14:paraId="50DAD3A3"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66%</w:t>
            </w:r>
          </w:p>
        </w:tc>
        <w:tc>
          <w:tcPr>
            <w:tcW w:w="0" w:type="auto"/>
          </w:tcPr>
          <w:p w14:paraId="75F603C8"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74%</w:t>
            </w:r>
          </w:p>
        </w:tc>
        <w:tc>
          <w:tcPr>
            <w:tcW w:w="0" w:type="auto"/>
          </w:tcPr>
          <w:p w14:paraId="79FBFB40" w14:textId="2121D5B8"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BF70EA">
              <w:rPr>
                <w:rFonts w:ascii="Times New Roman" w:hAnsi="Times New Roman" w:cs="Times New Roman"/>
                <w:sz w:val="20"/>
                <w:szCs w:val="20"/>
              </w:rPr>
              <w:t>3</w:t>
            </w:r>
            <w:r w:rsidRPr="000A03F1">
              <w:rPr>
                <w:rFonts w:ascii="Times New Roman" w:hAnsi="Times New Roman" w:cs="Times New Roman"/>
                <w:sz w:val="20"/>
                <w:szCs w:val="20"/>
              </w:rPr>
              <w:t>%</w:t>
            </w:r>
          </w:p>
        </w:tc>
        <w:tc>
          <w:tcPr>
            <w:tcW w:w="0" w:type="auto"/>
          </w:tcPr>
          <w:p w14:paraId="52E2C028" w14:textId="130512F6"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C767A0">
              <w:rPr>
                <w:rFonts w:ascii="Times New Roman" w:hAnsi="Times New Roman" w:cs="Times New Roman"/>
                <w:sz w:val="20"/>
                <w:szCs w:val="20"/>
              </w:rPr>
              <w:t>7</w:t>
            </w:r>
            <w:r w:rsidRPr="000A03F1">
              <w:rPr>
                <w:rFonts w:ascii="Times New Roman" w:hAnsi="Times New Roman" w:cs="Times New Roman"/>
                <w:sz w:val="20"/>
                <w:szCs w:val="20"/>
              </w:rPr>
              <w:t>%</w:t>
            </w:r>
          </w:p>
        </w:tc>
        <w:tc>
          <w:tcPr>
            <w:tcW w:w="0" w:type="auto"/>
          </w:tcPr>
          <w:p w14:paraId="5FF2ACC0"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63%</w:t>
            </w:r>
          </w:p>
        </w:tc>
        <w:tc>
          <w:tcPr>
            <w:tcW w:w="0" w:type="auto"/>
          </w:tcPr>
          <w:p w14:paraId="7BDA2301" w14:textId="71CB2E09"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C767A0">
              <w:rPr>
                <w:rFonts w:ascii="Times New Roman" w:hAnsi="Times New Roman" w:cs="Times New Roman"/>
                <w:sz w:val="20"/>
                <w:szCs w:val="20"/>
              </w:rPr>
              <w:t>2</w:t>
            </w:r>
            <w:r w:rsidRPr="000A03F1">
              <w:rPr>
                <w:rFonts w:ascii="Times New Roman" w:hAnsi="Times New Roman" w:cs="Times New Roman"/>
                <w:sz w:val="20"/>
                <w:szCs w:val="20"/>
              </w:rPr>
              <w:t>%</w:t>
            </w:r>
          </w:p>
        </w:tc>
        <w:tc>
          <w:tcPr>
            <w:tcW w:w="0" w:type="auto"/>
          </w:tcPr>
          <w:p w14:paraId="7A7DD4B9" w14:textId="79F2CA15" w:rsidR="00CE5A47" w:rsidRPr="000A03F1" w:rsidRDefault="00CC73DF"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70</w:t>
            </w:r>
            <w:r w:rsidR="00CE5A47" w:rsidRPr="000A03F1">
              <w:rPr>
                <w:rFonts w:ascii="Times New Roman" w:hAnsi="Times New Roman" w:cs="Times New Roman"/>
                <w:sz w:val="20"/>
                <w:szCs w:val="20"/>
              </w:rPr>
              <w:t>%</w:t>
            </w:r>
          </w:p>
        </w:tc>
        <w:tc>
          <w:tcPr>
            <w:tcW w:w="0" w:type="auto"/>
          </w:tcPr>
          <w:p w14:paraId="4856A4AF" w14:textId="13C112B8"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857EE7">
              <w:rPr>
                <w:rFonts w:ascii="Times New Roman" w:hAnsi="Times New Roman" w:cs="Times New Roman"/>
                <w:sz w:val="20"/>
                <w:szCs w:val="20"/>
              </w:rPr>
              <w:t>8</w:t>
            </w:r>
            <w:r w:rsidRPr="000A03F1">
              <w:rPr>
                <w:rFonts w:ascii="Times New Roman" w:hAnsi="Times New Roman" w:cs="Times New Roman"/>
                <w:sz w:val="20"/>
                <w:szCs w:val="20"/>
              </w:rPr>
              <w:t>%</w:t>
            </w:r>
          </w:p>
        </w:tc>
        <w:tc>
          <w:tcPr>
            <w:tcW w:w="0" w:type="auto"/>
          </w:tcPr>
          <w:p w14:paraId="3EF8A192"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64%</w:t>
            </w:r>
          </w:p>
        </w:tc>
        <w:tc>
          <w:tcPr>
            <w:tcW w:w="0" w:type="auto"/>
          </w:tcPr>
          <w:p w14:paraId="635B2944"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72%</w:t>
            </w:r>
          </w:p>
        </w:tc>
        <w:tc>
          <w:tcPr>
            <w:tcW w:w="0" w:type="auto"/>
          </w:tcPr>
          <w:p w14:paraId="3B4AFDA1" w14:textId="7FE50CFD"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4B72A9">
              <w:rPr>
                <w:rFonts w:ascii="Times New Roman" w:hAnsi="Times New Roman" w:cs="Times New Roman"/>
                <w:sz w:val="20"/>
                <w:szCs w:val="20"/>
              </w:rPr>
              <w:t>1</w:t>
            </w:r>
            <w:r w:rsidRPr="000A03F1">
              <w:rPr>
                <w:rFonts w:ascii="Times New Roman" w:hAnsi="Times New Roman" w:cs="Times New Roman"/>
                <w:sz w:val="20"/>
                <w:szCs w:val="20"/>
              </w:rPr>
              <w:t>%</w:t>
            </w:r>
          </w:p>
        </w:tc>
      </w:tr>
      <w:tr w:rsidR="00CE5A47" w:rsidRPr="000A03F1" w14:paraId="7A8DBA65" w14:textId="77777777" w:rsidTr="00456197">
        <w:tc>
          <w:tcPr>
            <w:tcW w:w="0" w:type="auto"/>
            <w:shd w:val="clear" w:color="auto" w:fill="auto"/>
            <w:tcMar>
              <w:top w:w="100" w:type="dxa"/>
              <w:left w:w="100" w:type="dxa"/>
              <w:bottom w:w="100" w:type="dxa"/>
              <w:right w:w="100" w:type="dxa"/>
            </w:tcMar>
          </w:tcPr>
          <w:p w14:paraId="21EF0375"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2</w:t>
            </w:r>
          </w:p>
        </w:tc>
        <w:tc>
          <w:tcPr>
            <w:tcW w:w="0" w:type="auto"/>
            <w:shd w:val="clear" w:color="auto" w:fill="auto"/>
            <w:tcMar>
              <w:top w:w="100" w:type="dxa"/>
              <w:left w:w="100" w:type="dxa"/>
              <w:bottom w:w="100" w:type="dxa"/>
              <w:right w:w="100" w:type="dxa"/>
            </w:tcMar>
          </w:tcPr>
          <w:p w14:paraId="6964676F" w14:textId="63A6B4CA"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2</w:t>
            </w:r>
            <w:r w:rsidR="007F0392">
              <w:rPr>
                <w:rFonts w:ascii="Times New Roman" w:hAnsi="Times New Roman" w:cs="Times New Roman"/>
                <w:sz w:val="20"/>
                <w:szCs w:val="20"/>
              </w:rPr>
              <w:t>3</w:t>
            </w:r>
            <w:r w:rsidRPr="000A03F1">
              <w:rPr>
                <w:rFonts w:ascii="Times New Roman" w:hAnsi="Times New Roman" w:cs="Times New Roman"/>
                <w:sz w:val="20"/>
                <w:szCs w:val="20"/>
              </w:rPr>
              <w:t>%</w:t>
            </w:r>
          </w:p>
        </w:tc>
        <w:tc>
          <w:tcPr>
            <w:tcW w:w="0" w:type="auto"/>
          </w:tcPr>
          <w:p w14:paraId="4BE0F58D"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11%</w:t>
            </w:r>
          </w:p>
        </w:tc>
        <w:tc>
          <w:tcPr>
            <w:tcW w:w="0" w:type="auto"/>
          </w:tcPr>
          <w:p w14:paraId="1038EF1A" w14:textId="7EA2220C"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5</w:t>
            </w:r>
            <w:r w:rsidR="00CE5A47" w:rsidRPr="000A03F1">
              <w:rPr>
                <w:rFonts w:ascii="Times New Roman" w:hAnsi="Times New Roman" w:cs="Times New Roman"/>
                <w:sz w:val="20"/>
                <w:szCs w:val="20"/>
              </w:rPr>
              <w:t>%</w:t>
            </w:r>
          </w:p>
        </w:tc>
        <w:tc>
          <w:tcPr>
            <w:tcW w:w="0" w:type="auto"/>
          </w:tcPr>
          <w:p w14:paraId="733979DB" w14:textId="0170FA8E"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10</w:t>
            </w:r>
            <w:r w:rsidR="00CE5A47" w:rsidRPr="000A03F1">
              <w:rPr>
                <w:rFonts w:ascii="Times New Roman" w:hAnsi="Times New Roman" w:cs="Times New Roman"/>
                <w:sz w:val="20"/>
                <w:szCs w:val="20"/>
              </w:rPr>
              <w:t>%</w:t>
            </w:r>
          </w:p>
        </w:tc>
        <w:tc>
          <w:tcPr>
            <w:tcW w:w="0" w:type="auto"/>
          </w:tcPr>
          <w:p w14:paraId="7F04B659"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18%</w:t>
            </w:r>
          </w:p>
        </w:tc>
        <w:tc>
          <w:tcPr>
            <w:tcW w:w="0" w:type="auto"/>
          </w:tcPr>
          <w:p w14:paraId="72D474D5" w14:textId="0F660DB7"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3</w:t>
            </w:r>
            <w:r w:rsidR="00CE5A47" w:rsidRPr="000A03F1">
              <w:rPr>
                <w:rFonts w:ascii="Times New Roman" w:hAnsi="Times New Roman" w:cs="Times New Roman"/>
                <w:sz w:val="20"/>
                <w:szCs w:val="20"/>
              </w:rPr>
              <w:t>%</w:t>
            </w:r>
          </w:p>
        </w:tc>
        <w:tc>
          <w:tcPr>
            <w:tcW w:w="0" w:type="auto"/>
          </w:tcPr>
          <w:p w14:paraId="5B92FCFF" w14:textId="1256BB4E"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w:t>
            </w:r>
            <w:r w:rsidR="007F0392">
              <w:rPr>
                <w:rFonts w:ascii="Times New Roman" w:hAnsi="Times New Roman" w:cs="Times New Roman"/>
                <w:sz w:val="20"/>
                <w:szCs w:val="20"/>
              </w:rPr>
              <w:t>2</w:t>
            </w:r>
            <w:r w:rsidRPr="000A03F1">
              <w:rPr>
                <w:rFonts w:ascii="Times New Roman" w:hAnsi="Times New Roman" w:cs="Times New Roman"/>
                <w:sz w:val="20"/>
                <w:szCs w:val="20"/>
              </w:rPr>
              <w:t>%</w:t>
            </w:r>
          </w:p>
        </w:tc>
        <w:tc>
          <w:tcPr>
            <w:tcW w:w="0" w:type="auto"/>
          </w:tcPr>
          <w:p w14:paraId="3100B8F3"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p>
        </w:tc>
        <w:tc>
          <w:tcPr>
            <w:tcW w:w="0" w:type="auto"/>
          </w:tcPr>
          <w:p w14:paraId="03C414DA" w14:textId="4E7843C8"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19</w:t>
            </w:r>
            <w:r w:rsidR="00CE5A47" w:rsidRPr="000A03F1">
              <w:rPr>
                <w:rFonts w:ascii="Times New Roman" w:hAnsi="Times New Roman" w:cs="Times New Roman"/>
                <w:sz w:val="20"/>
                <w:szCs w:val="20"/>
              </w:rPr>
              <w:t>%</w:t>
            </w:r>
          </w:p>
        </w:tc>
        <w:tc>
          <w:tcPr>
            <w:tcW w:w="0" w:type="auto"/>
          </w:tcPr>
          <w:p w14:paraId="1460A91E" w14:textId="396FCB48"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6</w:t>
            </w:r>
            <w:r w:rsidR="00CE5A47" w:rsidRPr="000A03F1">
              <w:rPr>
                <w:rFonts w:ascii="Times New Roman" w:hAnsi="Times New Roman" w:cs="Times New Roman"/>
                <w:sz w:val="20"/>
                <w:szCs w:val="20"/>
              </w:rPr>
              <w:t>%</w:t>
            </w:r>
          </w:p>
        </w:tc>
        <w:tc>
          <w:tcPr>
            <w:tcW w:w="0" w:type="auto"/>
          </w:tcPr>
          <w:p w14:paraId="5B44A708"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1%</w:t>
            </w:r>
          </w:p>
        </w:tc>
        <w:tc>
          <w:tcPr>
            <w:tcW w:w="0" w:type="auto"/>
          </w:tcPr>
          <w:p w14:paraId="73C8D484" w14:textId="0A4D7193" w:rsidR="00CE5A47" w:rsidRPr="000A03F1" w:rsidRDefault="007F0392"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7</w:t>
            </w:r>
            <w:r w:rsidR="00CE5A47" w:rsidRPr="000A03F1">
              <w:rPr>
                <w:rFonts w:ascii="Times New Roman" w:hAnsi="Times New Roman" w:cs="Times New Roman"/>
                <w:sz w:val="20"/>
                <w:szCs w:val="20"/>
              </w:rPr>
              <w:t>%</w:t>
            </w:r>
          </w:p>
        </w:tc>
      </w:tr>
      <w:tr w:rsidR="00CE5A47" w:rsidRPr="000A03F1" w14:paraId="34018878" w14:textId="77777777" w:rsidTr="00456197">
        <w:tc>
          <w:tcPr>
            <w:tcW w:w="0" w:type="auto"/>
            <w:shd w:val="clear" w:color="auto" w:fill="auto"/>
            <w:tcMar>
              <w:top w:w="100" w:type="dxa"/>
              <w:left w:w="100" w:type="dxa"/>
              <w:bottom w:w="100" w:type="dxa"/>
              <w:right w:w="100" w:type="dxa"/>
            </w:tcMar>
          </w:tcPr>
          <w:p w14:paraId="2A34AB01"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w:t>
            </w:r>
          </w:p>
        </w:tc>
        <w:tc>
          <w:tcPr>
            <w:tcW w:w="0" w:type="auto"/>
            <w:shd w:val="clear" w:color="auto" w:fill="auto"/>
            <w:tcMar>
              <w:top w:w="100" w:type="dxa"/>
              <w:left w:w="100" w:type="dxa"/>
              <w:bottom w:w="100" w:type="dxa"/>
              <w:right w:w="100" w:type="dxa"/>
            </w:tcMar>
          </w:tcPr>
          <w:p w14:paraId="41911802" w14:textId="00E595BC"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1A3B40">
              <w:rPr>
                <w:rFonts w:ascii="Times New Roman" w:hAnsi="Times New Roman" w:cs="Times New Roman"/>
                <w:sz w:val="20"/>
                <w:szCs w:val="20"/>
              </w:rPr>
              <w:t>4</w:t>
            </w:r>
            <w:r w:rsidRPr="000A03F1">
              <w:rPr>
                <w:rFonts w:ascii="Times New Roman" w:hAnsi="Times New Roman" w:cs="Times New Roman"/>
                <w:sz w:val="20"/>
                <w:szCs w:val="20"/>
              </w:rPr>
              <w:t>%</w:t>
            </w:r>
          </w:p>
        </w:tc>
        <w:tc>
          <w:tcPr>
            <w:tcW w:w="0" w:type="auto"/>
          </w:tcPr>
          <w:p w14:paraId="7652EBFA"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70%</w:t>
            </w:r>
          </w:p>
        </w:tc>
        <w:tc>
          <w:tcPr>
            <w:tcW w:w="0" w:type="auto"/>
          </w:tcPr>
          <w:p w14:paraId="6633BB32"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66%</w:t>
            </w:r>
          </w:p>
        </w:tc>
        <w:tc>
          <w:tcPr>
            <w:tcW w:w="0" w:type="auto"/>
          </w:tcPr>
          <w:p w14:paraId="69A16439"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63%</w:t>
            </w:r>
          </w:p>
        </w:tc>
        <w:tc>
          <w:tcPr>
            <w:tcW w:w="0" w:type="auto"/>
          </w:tcPr>
          <w:p w14:paraId="6F8ED098" w14:textId="34A0DCB2"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1F7C6E">
              <w:rPr>
                <w:rFonts w:ascii="Times New Roman" w:hAnsi="Times New Roman" w:cs="Times New Roman"/>
                <w:sz w:val="20"/>
                <w:szCs w:val="20"/>
              </w:rPr>
              <w:t>1</w:t>
            </w:r>
            <w:r w:rsidRPr="000A03F1">
              <w:rPr>
                <w:rFonts w:ascii="Times New Roman" w:hAnsi="Times New Roman" w:cs="Times New Roman"/>
                <w:sz w:val="20"/>
                <w:szCs w:val="20"/>
              </w:rPr>
              <w:t>%</w:t>
            </w:r>
          </w:p>
        </w:tc>
        <w:tc>
          <w:tcPr>
            <w:tcW w:w="0" w:type="auto"/>
          </w:tcPr>
          <w:p w14:paraId="54E55B04" w14:textId="02B4BC2E"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555C01">
              <w:rPr>
                <w:rFonts w:ascii="Times New Roman" w:hAnsi="Times New Roman" w:cs="Times New Roman"/>
                <w:sz w:val="20"/>
                <w:szCs w:val="20"/>
              </w:rPr>
              <w:t>8</w:t>
            </w:r>
            <w:r w:rsidRPr="000A03F1">
              <w:rPr>
                <w:rFonts w:ascii="Times New Roman" w:hAnsi="Times New Roman" w:cs="Times New Roman"/>
                <w:sz w:val="20"/>
                <w:szCs w:val="20"/>
              </w:rPr>
              <w:t>%</w:t>
            </w:r>
          </w:p>
        </w:tc>
        <w:tc>
          <w:tcPr>
            <w:tcW w:w="0" w:type="auto"/>
          </w:tcPr>
          <w:p w14:paraId="7DE195C5"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63%</w:t>
            </w:r>
          </w:p>
        </w:tc>
        <w:tc>
          <w:tcPr>
            <w:tcW w:w="0" w:type="auto"/>
          </w:tcPr>
          <w:p w14:paraId="523BA74B" w14:textId="73DC720D"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DD518E">
              <w:rPr>
                <w:rFonts w:ascii="Times New Roman" w:hAnsi="Times New Roman" w:cs="Times New Roman"/>
                <w:sz w:val="20"/>
                <w:szCs w:val="20"/>
              </w:rPr>
              <w:t>1</w:t>
            </w:r>
            <w:r w:rsidRPr="000A03F1">
              <w:rPr>
                <w:rFonts w:ascii="Times New Roman" w:hAnsi="Times New Roman" w:cs="Times New Roman"/>
                <w:sz w:val="20"/>
                <w:szCs w:val="20"/>
              </w:rPr>
              <w:t>%</w:t>
            </w:r>
          </w:p>
        </w:tc>
        <w:tc>
          <w:tcPr>
            <w:tcW w:w="0" w:type="auto"/>
          </w:tcPr>
          <w:p w14:paraId="558DC47B" w14:textId="4AF061DB"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D45DEC">
              <w:rPr>
                <w:rFonts w:ascii="Times New Roman" w:hAnsi="Times New Roman" w:cs="Times New Roman"/>
                <w:sz w:val="20"/>
                <w:szCs w:val="20"/>
              </w:rPr>
              <w:t>2</w:t>
            </w:r>
            <w:r w:rsidRPr="000A03F1">
              <w:rPr>
                <w:rFonts w:ascii="Times New Roman" w:hAnsi="Times New Roman" w:cs="Times New Roman"/>
                <w:sz w:val="20"/>
                <w:szCs w:val="20"/>
              </w:rPr>
              <w:t>%</w:t>
            </w:r>
          </w:p>
        </w:tc>
        <w:tc>
          <w:tcPr>
            <w:tcW w:w="0" w:type="auto"/>
          </w:tcPr>
          <w:p w14:paraId="3AB79387" w14:textId="61F76CEB"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E23C50">
              <w:rPr>
                <w:rFonts w:ascii="Times New Roman" w:hAnsi="Times New Roman" w:cs="Times New Roman"/>
                <w:sz w:val="20"/>
                <w:szCs w:val="20"/>
              </w:rPr>
              <w:t>9</w:t>
            </w:r>
            <w:r w:rsidRPr="000A03F1">
              <w:rPr>
                <w:rFonts w:ascii="Times New Roman" w:hAnsi="Times New Roman" w:cs="Times New Roman"/>
                <w:sz w:val="20"/>
                <w:szCs w:val="20"/>
              </w:rPr>
              <w:t>%</w:t>
            </w:r>
          </w:p>
        </w:tc>
        <w:tc>
          <w:tcPr>
            <w:tcW w:w="0" w:type="auto"/>
          </w:tcPr>
          <w:p w14:paraId="2FA36AA6"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64%</w:t>
            </w:r>
          </w:p>
        </w:tc>
        <w:tc>
          <w:tcPr>
            <w:tcW w:w="0" w:type="auto"/>
          </w:tcPr>
          <w:p w14:paraId="2B3F3C85" w14:textId="3C3D2A4C"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466836">
              <w:rPr>
                <w:rFonts w:ascii="Times New Roman" w:hAnsi="Times New Roman" w:cs="Times New Roman"/>
                <w:sz w:val="20"/>
                <w:szCs w:val="20"/>
              </w:rPr>
              <w:t>2</w:t>
            </w:r>
            <w:r w:rsidRPr="000A03F1">
              <w:rPr>
                <w:rFonts w:ascii="Times New Roman" w:hAnsi="Times New Roman" w:cs="Times New Roman"/>
                <w:sz w:val="20"/>
                <w:szCs w:val="20"/>
              </w:rPr>
              <w:t>%</w:t>
            </w:r>
          </w:p>
        </w:tc>
      </w:tr>
      <w:tr w:rsidR="00CE5A47" w:rsidRPr="000A03F1" w14:paraId="3854EB5D" w14:textId="77777777" w:rsidTr="00456197">
        <w:tc>
          <w:tcPr>
            <w:tcW w:w="0" w:type="auto"/>
            <w:shd w:val="clear" w:color="auto" w:fill="auto"/>
            <w:tcMar>
              <w:top w:w="100" w:type="dxa"/>
              <w:left w:w="100" w:type="dxa"/>
              <w:bottom w:w="100" w:type="dxa"/>
              <w:right w:w="100" w:type="dxa"/>
            </w:tcMar>
          </w:tcPr>
          <w:p w14:paraId="39DD2861"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p>
        </w:tc>
        <w:tc>
          <w:tcPr>
            <w:tcW w:w="0" w:type="auto"/>
            <w:shd w:val="clear" w:color="auto" w:fill="auto"/>
            <w:tcMar>
              <w:top w:w="100" w:type="dxa"/>
              <w:left w:w="100" w:type="dxa"/>
              <w:bottom w:w="100" w:type="dxa"/>
              <w:right w:w="100" w:type="dxa"/>
            </w:tcMar>
          </w:tcPr>
          <w:p w14:paraId="7462E155" w14:textId="668912CF"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r w:rsidR="001A3B40">
              <w:rPr>
                <w:rFonts w:ascii="Times New Roman" w:hAnsi="Times New Roman" w:cs="Times New Roman"/>
                <w:sz w:val="20"/>
                <w:szCs w:val="20"/>
              </w:rPr>
              <w:t>4</w:t>
            </w:r>
            <w:r w:rsidRPr="000A03F1">
              <w:rPr>
                <w:rFonts w:ascii="Times New Roman" w:hAnsi="Times New Roman" w:cs="Times New Roman"/>
                <w:sz w:val="20"/>
                <w:szCs w:val="20"/>
              </w:rPr>
              <w:t>%</w:t>
            </w:r>
          </w:p>
        </w:tc>
        <w:tc>
          <w:tcPr>
            <w:tcW w:w="0" w:type="auto"/>
          </w:tcPr>
          <w:p w14:paraId="106B80C1" w14:textId="288DB27A" w:rsidR="00CE5A47" w:rsidRPr="000A03F1" w:rsidRDefault="00807CCE"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59</w:t>
            </w:r>
            <w:r w:rsidR="00CE5A47" w:rsidRPr="000A03F1">
              <w:rPr>
                <w:rFonts w:ascii="Times New Roman" w:hAnsi="Times New Roman" w:cs="Times New Roman"/>
                <w:sz w:val="20"/>
                <w:szCs w:val="20"/>
              </w:rPr>
              <w:t>%</w:t>
            </w:r>
          </w:p>
        </w:tc>
        <w:tc>
          <w:tcPr>
            <w:tcW w:w="0" w:type="auto"/>
          </w:tcPr>
          <w:p w14:paraId="07371DCB" w14:textId="69D3EEC2"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807CCE">
              <w:rPr>
                <w:rFonts w:ascii="Times New Roman" w:hAnsi="Times New Roman" w:cs="Times New Roman"/>
                <w:sz w:val="20"/>
                <w:szCs w:val="20"/>
              </w:rPr>
              <w:t>3</w:t>
            </w:r>
            <w:r w:rsidRPr="000A03F1">
              <w:rPr>
                <w:rFonts w:ascii="Times New Roman" w:hAnsi="Times New Roman" w:cs="Times New Roman"/>
                <w:sz w:val="20"/>
                <w:szCs w:val="20"/>
              </w:rPr>
              <w:t>%</w:t>
            </w:r>
          </w:p>
        </w:tc>
        <w:tc>
          <w:tcPr>
            <w:tcW w:w="0" w:type="auto"/>
          </w:tcPr>
          <w:p w14:paraId="687EB8A1"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39%</w:t>
            </w:r>
          </w:p>
        </w:tc>
        <w:tc>
          <w:tcPr>
            <w:tcW w:w="0" w:type="auto"/>
          </w:tcPr>
          <w:p w14:paraId="607DE80E" w14:textId="0FDC07BF"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r w:rsidR="001F7C6E">
              <w:rPr>
                <w:rFonts w:ascii="Times New Roman" w:hAnsi="Times New Roman" w:cs="Times New Roman"/>
                <w:sz w:val="20"/>
                <w:szCs w:val="20"/>
              </w:rPr>
              <w:t>0</w:t>
            </w:r>
            <w:r w:rsidRPr="000A03F1">
              <w:rPr>
                <w:rFonts w:ascii="Times New Roman" w:hAnsi="Times New Roman" w:cs="Times New Roman"/>
                <w:sz w:val="20"/>
                <w:szCs w:val="20"/>
              </w:rPr>
              <w:t>%</w:t>
            </w:r>
          </w:p>
        </w:tc>
        <w:tc>
          <w:tcPr>
            <w:tcW w:w="0" w:type="auto"/>
          </w:tcPr>
          <w:p w14:paraId="593C4CAF" w14:textId="4138AF02"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r w:rsidR="00555C01">
              <w:rPr>
                <w:rFonts w:ascii="Times New Roman" w:hAnsi="Times New Roman" w:cs="Times New Roman"/>
                <w:sz w:val="20"/>
                <w:szCs w:val="20"/>
              </w:rPr>
              <w:t>6</w:t>
            </w:r>
            <w:r w:rsidRPr="000A03F1">
              <w:rPr>
                <w:rFonts w:ascii="Times New Roman" w:hAnsi="Times New Roman" w:cs="Times New Roman"/>
                <w:sz w:val="20"/>
                <w:szCs w:val="20"/>
              </w:rPr>
              <w:t>%</w:t>
            </w:r>
          </w:p>
        </w:tc>
        <w:tc>
          <w:tcPr>
            <w:tcW w:w="0" w:type="auto"/>
          </w:tcPr>
          <w:p w14:paraId="7956A91E"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40%</w:t>
            </w:r>
          </w:p>
        </w:tc>
        <w:tc>
          <w:tcPr>
            <w:tcW w:w="0" w:type="auto"/>
          </w:tcPr>
          <w:p w14:paraId="0CA2D20C"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35%</w:t>
            </w:r>
          </w:p>
        </w:tc>
        <w:tc>
          <w:tcPr>
            <w:tcW w:w="0" w:type="auto"/>
          </w:tcPr>
          <w:p w14:paraId="5D60CA6F" w14:textId="6FECDD09"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r w:rsidR="00D45DEC">
              <w:rPr>
                <w:rFonts w:ascii="Times New Roman" w:hAnsi="Times New Roman" w:cs="Times New Roman"/>
                <w:sz w:val="20"/>
                <w:szCs w:val="20"/>
              </w:rPr>
              <w:t>1</w:t>
            </w:r>
            <w:r w:rsidRPr="000A03F1">
              <w:rPr>
                <w:rFonts w:ascii="Times New Roman" w:hAnsi="Times New Roman" w:cs="Times New Roman"/>
                <w:sz w:val="20"/>
                <w:szCs w:val="20"/>
              </w:rPr>
              <w:t>%</w:t>
            </w:r>
          </w:p>
        </w:tc>
        <w:tc>
          <w:tcPr>
            <w:tcW w:w="0" w:type="auto"/>
          </w:tcPr>
          <w:p w14:paraId="6542E761" w14:textId="4A4A08AF"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r w:rsidR="00E23C50">
              <w:rPr>
                <w:rFonts w:ascii="Times New Roman" w:hAnsi="Times New Roman" w:cs="Times New Roman"/>
                <w:sz w:val="20"/>
                <w:szCs w:val="20"/>
              </w:rPr>
              <w:t>7</w:t>
            </w:r>
            <w:r w:rsidRPr="000A03F1">
              <w:rPr>
                <w:rFonts w:ascii="Times New Roman" w:hAnsi="Times New Roman" w:cs="Times New Roman"/>
                <w:sz w:val="20"/>
                <w:szCs w:val="20"/>
              </w:rPr>
              <w:t>%</w:t>
            </w:r>
          </w:p>
        </w:tc>
        <w:tc>
          <w:tcPr>
            <w:tcW w:w="0" w:type="auto"/>
          </w:tcPr>
          <w:p w14:paraId="52B35306" w14:textId="5A2750FD"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4</w:t>
            </w:r>
            <w:r w:rsidR="00E221AF">
              <w:rPr>
                <w:rFonts w:ascii="Times New Roman" w:hAnsi="Times New Roman" w:cs="Times New Roman"/>
                <w:sz w:val="20"/>
                <w:szCs w:val="20"/>
              </w:rPr>
              <w:t>1</w:t>
            </w:r>
            <w:r w:rsidRPr="000A03F1">
              <w:rPr>
                <w:rFonts w:ascii="Times New Roman" w:hAnsi="Times New Roman" w:cs="Times New Roman"/>
                <w:sz w:val="20"/>
                <w:szCs w:val="20"/>
              </w:rPr>
              <w:t>%</w:t>
            </w:r>
          </w:p>
        </w:tc>
        <w:tc>
          <w:tcPr>
            <w:tcW w:w="0" w:type="auto"/>
          </w:tcPr>
          <w:p w14:paraId="4484DE67"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36%</w:t>
            </w:r>
          </w:p>
        </w:tc>
      </w:tr>
      <w:tr w:rsidR="00CE5A47" w:rsidRPr="000A03F1" w14:paraId="00F47FE4" w14:textId="77777777" w:rsidTr="00456197">
        <w:trPr>
          <w:trHeight w:val="20"/>
        </w:trPr>
        <w:tc>
          <w:tcPr>
            <w:tcW w:w="0" w:type="auto"/>
            <w:shd w:val="clear" w:color="auto" w:fill="auto"/>
            <w:tcMar>
              <w:top w:w="100" w:type="dxa"/>
              <w:left w:w="100" w:type="dxa"/>
              <w:bottom w:w="100" w:type="dxa"/>
              <w:right w:w="100" w:type="dxa"/>
            </w:tcMar>
          </w:tcPr>
          <w:p w14:paraId="2CD60F60"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5</w:t>
            </w:r>
          </w:p>
        </w:tc>
        <w:tc>
          <w:tcPr>
            <w:tcW w:w="0" w:type="auto"/>
            <w:shd w:val="clear" w:color="auto" w:fill="auto"/>
            <w:tcMar>
              <w:top w:w="100" w:type="dxa"/>
              <w:left w:w="100" w:type="dxa"/>
              <w:bottom w:w="100" w:type="dxa"/>
              <w:right w:w="100" w:type="dxa"/>
            </w:tcMar>
          </w:tcPr>
          <w:p w14:paraId="2B189F62" w14:textId="2435B366"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1A3B40">
              <w:rPr>
                <w:rFonts w:ascii="Times New Roman" w:hAnsi="Times New Roman" w:cs="Times New Roman"/>
                <w:sz w:val="20"/>
                <w:szCs w:val="20"/>
              </w:rPr>
              <w:t>8</w:t>
            </w:r>
            <w:r w:rsidRPr="000A03F1">
              <w:rPr>
                <w:rFonts w:ascii="Times New Roman" w:hAnsi="Times New Roman" w:cs="Times New Roman"/>
                <w:sz w:val="20"/>
                <w:szCs w:val="20"/>
              </w:rPr>
              <w:t>%</w:t>
            </w:r>
          </w:p>
        </w:tc>
        <w:tc>
          <w:tcPr>
            <w:tcW w:w="0" w:type="auto"/>
          </w:tcPr>
          <w:p w14:paraId="6AA72D58" w14:textId="7E25693C"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807CCE">
              <w:rPr>
                <w:rFonts w:ascii="Times New Roman" w:hAnsi="Times New Roman" w:cs="Times New Roman"/>
                <w:sz w:val="20"/>
                <w:szCs w:val="20"/>
              </w:rPr>
              <w:t>2</w:t>
            </w:r>
            <w:r w:rsidRPr="000A03F1">
              <w:rPr>
                <w:rFonts w:ascii="Times New Roman" w:hAnsi="Times New Roman" w:cs="Times New Roman"/>
                <w:sz w:val="20"/>
                <w:szCs w:val="20"/>
              </w:rPr>
              <w:t>%</w:t>
            </w:r>
          </w:p>
        </w:tc>
        <w:tc>
          <w:tcPr>
            <w:tcW w:w="0" w:type="auto"/>
          </w:tcPr>
          <w:p w14:paraId="2A837265" w14:textId="56995F81"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807CCE">
              <w:rPr>
                <w:rFonts w:ascii="Times New Roman" w:hAnsi="Times New Roman" w:cs="Times New Roman"/>
                <w:sz w:val="20"/>
                <w:szCs w:val="20"/>
              </w:rPr>
              <w:t>5</w:t>
            </w:r>
            <w:r w:rsidRPr="000A03F1">
              <w:rPr>
                <w:rFonts w:ascii="Times New Roman" w:hAnsi="Times New Roman" w:cs="Times New Roman"/>
                <w:sz w:val="20"/>
                <w:szCs w:val="20"/>
              </w:rPr>
              <w:t>%</w:t>
            </w:r>
          </w:p>
        </w:tc>
        <w:tc>
          <w:tcPr>
            <w:tcW w:w="0" w:type="auto"/>
          </w:tcPr>
          <w:p w14:paraId="0FC855F9" w14:textId="59DBD0CD"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807CCE">
              <w:rPr>
                <w:rFonts w:ascii="Times New Roman" w:hAnsi="Times New Roman" w:cs="Times New Roman"/>
                <w:sz w:val="20"/>
                <w:szCs w:val="20"/>
              </w:rPr>
              <w:t>1</w:t>
            </w:r>
            <w:r w:rsidRPr="000A03F1">
              <w:rPr>
                <w:rFonts w:ascii="Times New Roman" w:hAnsi="Times New Roman" w:cs="Times New Roman"/>
                <w:sz w:val="20"/>
                <w:szCs w:val="20"/>
              </w:rPr>
              <w:t>%</w:t>
            </w:r>
          </w:p>
        </w:tc>
        <w:tc>
          <w:tcPr>
            <w:tcW w:w="0" w:type="auto"/>
          </w:tcPr>
          <w:p w14:paraId="1396FDAA" w14:textId="37778DE9"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1F7C6E">
              <w:rPr>
                <w:rFonts w:ascii="Times New Roman" w:hAnsi="Times New Roman" w:cs="Times New Roman"/>
                <w:sz w:val="20"/>
                <w:szCs w:val="20"/>
              </w:rPr>
              <w:t>5</w:t>
            </w:r>
            <w:r w:rsidRPr="000A03F1">
              <w:rPr>
                <w:rFonts w:ascii="Times New Roman" w:hAnsi="Times New Roman" w:cs="Times New Roman"/>
                <w:sz w:val="20"/>
                <w:szCs w:val="20"/>
              </w:rPr>
              <w:t>%</w:t>
            </w:r>
          </w:p>
        </w:tc>
        <w:tc>
          <w:tcPr>
            <w:tcW w:w="0" w:type="auto"/>
          </w:tcPr>
          <w:p w14:paraId="228E0BD2" w14:textId="03E14078"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555C01">
              <w:rPr>
                <w:rFonts w:ascii="Times New Roman" w:hAnsi="Times New Roman" w:cs="Times New Roman"/>
                <w:sz w:val="20"/>
                <w:szCs w:val="20"/>
              </w:rPr>
              <w:t>9</w:t>
            </w:r>
            <w:r w:rsidRPr="000A03F1">
              <w:rPr>
                <w:rFonts w:ascii="Times New Roman" w:hAnsi="Times New Roman" w:cs="Times New Roman"/>
                <w:sz w:val="20"/>
                <w:szCs w:val="20"/>
              </w:rPr>
              <w:t>%</w:t>
            </w:r>
          </w:p>
        </w:tc>
        <w:tc>
          <w:tcPr>
            <w:tcW w:w="0" w:type="auto"/>
          </w:tcPr>
          <w:p w14:paraId="3E683F72" w14:textId="78A13710"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w:t>
            </w:r>
            <w:r w:rsidR="000A59E1">
              <w:rPr>
                <w:rFonts w:ascii="Times New Roman" w:hAnsi="Times New Roman" w:cs="Times New Roman"/>
                <w:sz w:val="20"/>
                <w:szCs w:val="20"/>
              </w:rPr>
              <w:t>2</w:t>
            </w:r>
            <w:r w:rsidRPr="000A03F1">
              <w:rPr>
                <w:rFonts w:ascii="Times New Roman" w:hAnsi="Times New Roman" w:cs="Times New Roman"/>
                <w:sz w:val="20"/>
                <w:szCs w:val="20"/>
              </w:rPr>
              <w:t>%</w:t>
            </w:r>
          </w:p>
        </w:tc>
        <w:tc>
          <w:tcPr>
            <w:tcW w:w="0" w:type="auto"/>
          </w:tcPr>
          <w:p w14:paraId="4056CF2E"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67%</w:t>
            </w:r>
          </w:p>
        </w:tc>
        <w:tc>
          <w:tcPr>
            <w:tcW w:w="0" w:type="auto"/>
          </w:tcPr>
          <w:p w14:paraId="5D56FE96" w14:textId="2F6F5585"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D45DEC">
              <w:rPr>
                <w:rFonts w:ascii="Times New Roman" w:hAnsi="Times New Roman" w:cs="Times New Roman"/>
                <w:sz w:val="20"/>
                <w:szCs w:val="20"/>
              </w:rPr>
              <w:t>6</w:t>
            </w:r>
            <w:r w:rsidRPr="000A03F1">
              <w:rPr>
                <w:rFonts w:ascii="Times New Roman" w:hAnsi="Times New Roman" w:cs="Times New Roman"/>
                <w:sz w:val="20"/>
                <w:szCs w:val="20"/>
              </w:rPr>
              <w:t>%</w:t>
            </w:r>
          </w:p>
        </w:tc>
        <w:tc>
          <w:tcPr>
            <w:tcW w:w="0" w:type="auto"/>
          </w:tcPr>
          <w:p w14:paraId="6D71A964" w14:textId="7234D778" w:rsidR="00CE5A47" w:rsidRPr="000A03F1" w:rsidRDefault="00E23C50"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Pr>
                <w:rFonts w:ascii="Times New Roman" w:hAnsi="Times New Roman" w:cs="Times New Roman"/>
                <w:sz w:val="20"/>
                <w:szCs w:val="20"/>
              </w:rPr>
              <w:t>70</w:t>
            </w:r>
            <w:r w:rsidR="00CE5A47" w:rsidRPr="000A03F1">
              <w:rPr>
                <w:rFonts w:ascii="Times New Roman" w:hAnsi="Times New Roman" w:cs="Times New Roman"/>
                <w:sz w:val="20"/>
                <w:szCs w:val="20"/>
              </w:rPr>
              <w:t>%</w:t>
            </w:r>
          </w:p>
        </w:tc>
        <w:tc>
          <w:tcPr>
            <w:tcW w:w="0" w:type="auto"/>
          </w:tcPr>
          <w:p w14:paraId="3C7C468F" w14:textId="77777777"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73%</w:t>
            </w:r>
          </w:p>
        </w:tc>
        <w:tc>
          <w:tcPr>
            <w:tcW w:w="0" w:type="auto"/>
          </w:tcPr>
          <w:p w14:paraId="06AB9EB7" w14:textId="6AA56D62" w:rsidR="00CE5A47" w:rsidRPr="000A03F1" w:rsidRDefault="00CE5A47" w:rsidP="00B91342">
            <w:pPr>
              <w:widowControl w:val="0"/>
              <w:pBdr>
                <w:top w:val="nil"/>
                <w:left w:val="nil"/>
                <w:bottom w:val="nil"/>
                <w:right w:val="nil"/>
                <w:between w:val="nil"/>
              </w:pBdr>
              <w:spacing w:line="240" w:lineRule="auto"/>
              <w:contextualSpacing/>
              <w:rPr>
                <w:rFonts w:ascii="Times New Roman" w:hAnsi="Times New Roman" w:cs="Times New Roman"/>
                <w:sz w:val="20"/>
                <w:szCs w:val="20"/>
              </w:rPr>
            </w:pPr>
            <w:r w:rsidRPr="000A03F1">
              <w:rPr>
                <w:rFonts w:ascii="Times New Roman" w:hAnsi="Times New Roman" w:cs="Times New Roman"/>
                <w:sz w:val="20"/>
                <w:szCs w:val="20"/>
              </w:rPr>
              <w:t>6</w:t>
            </w:r>
            <w:r w:rsidR="00466836">
              <w:rPr>
                <w:rFonts w:ascii="Times New Roman" w:hAnsi="Times New Roman" w:cs="Times New Roman"/>
                <w:sz w:val="20"/>
                <w:szCs w:val="20"/>
              </w:rPr>
              <w:t>9</w:t>
            </w:r>
            <w:r w:rsidRPr="000A03F1">
              <w:rPr>
                <w:rFonts w:ascii="Times New Roman" w:hAnsi="Times New Roman" w:cs="Times New Roman"/>
                <w:sz w:val="20"/>
                <w:szCs w:val="20"/>
              </w:rPr>
              <w:t>%</w:t>
            </w:r>
          </w:p>
        </w:tc>
      </w:tr>
    </w:tbl>
    <w:p w14:paraId="4CF58750" w14:textId="77777777" w:rsidR="00043C36" w:rsidRPr="000A03F1" w:rsidRDefault="00043C36" w:rsidP="00741A05">
      <w:pPr>
        <w:tabs>
          <w:tab w:val="left" w:pos="384"/>
        </w:tabs>
        <w:spacing w:after="240" w:line="480" w:lineRule="auto"/>
        <w:contextualSpacing/>
        <w:rPr>
          <w:rFonts w:ascii="Times New Roman" w:eastAsia="Calibri" w:hAnsi="Times New Roman" w:cs="Times New Roman"/>
          <w:sz w:val="24"/>
          <w:szCs w:val="24"/>
        </w:rPr>
      </w:pPr>
    </w:p>
    <w:p w14:paraId="77EAE7C0" w14:textId="77777777" w:rsidR="00484F27" w:rsidRPr="000A03F1" w:rsidRDefault="00043C36" w:rsidP="00B857BF">
      <w:pPr>
        <w:spacing w:after="160" w:line="259" w:lineRule="auto"/>
        <w:jc w:val="both"/>
        <w:rPr>
          <w:rFonts w:ascii="Times New Roman" w:hAnsi="Times New Roman" w:cs="Times New Roman"/>
          <w:sz w:val="20"/>
          <w:szCs w:val="20"/>
        </w:rPr>
        <w:sectPr w:rsidR="00484F27" w:rsidRPr="000A03F1">
          <w:pgSz w:w="15840" w:h="12240" w:orient="landscape"/>
          <w:pgMar w:top="1440" w:right="1440" w:bottom="1440" w:left="1440" w:header="720" w:footer="720" w:gutter="0"/>
          <w:cols w:space="720"/>
        </w:sectPr>
      </w:pPr>
      <w:r w:rsidRPr="000A03F1">
        <w:rPr>
          <w:rFonts w:ascii="Times New Roman" w:hAnsi="Times New Roman" w:cs="Times New Roman"/>
          <w:sz w:val="20"/>
          <w:szCs w:val="20"/>
        </w:rPr>
        <w:t xml:space="preserve">The scenario analysis was further analysed according to the dynamics that occurred during the vaccination campaign. The timing of the one-year vaccination </w:t>
      </w:r>
      <w:r w:rsidR="000E3DEB" w:rsidRPr="000A03F1">
        <w:rPr>
          <w:rFonts w:ascii="Times New Roman" w:hAnsi="Times New Roman" w:cs="Times New Roman"/>
          <w:sz w:val="20"/>
          <w:szCs w:val="20"/>
        </w:rPr>
        <w:t>programme</w:t>
      </w:r>
      <w:r w:rsidRPr="000A03F1">
        <w:rPr>
          <w:rFonts w:ascii="Times New Roman" w:hAnsi="Times New Roman" w:cs="Times New Roman"/>
          <w:sz w:val="20"/>
          <w:szCs w:val="20"/>
        </w:rPr>
        <w:t xml:space="preserve"> was determined based on when the proportion of each serotype was at its highest. The evaluation took place three years after the </w:t>
      </w:r>
      <w:r w:rsidR="000E3DEB" w:rsidRPr="000A03F1">
        <w:rPr>
          <w:rFonts w:ascii="Times New Roman" w:hAnsi="Times New Roman" w:cs="Times New Roman"/>
          <w:sz w:val="20"/>
          <w:szCs w:val="20"/>
        </w:rPr>
        <w:t>programme</w:t>
      </w:r>
      <w:r w:rsidRPr="000A03F1">
        <w:rPr>
          <w:rFonts w:ascii="Times New Roman" w:hAnsi="Times New Roman" w:cs="Times New Roman"/>
          <w:sz w:val="20"/>
          <w:szCs w:val="20"/>
        </w:rPr>
        <w:t xml:space="preserve"> started. The screening scenario consistently resulted in better outcomes compared to its counterpart, as demonstrated in scenario 2 versus scenario 3, and scenario 4 versus scenario 5. Across all four different assumptions, scenario 2 consistently produced the lowest outcome among the five scenarios.</w:t>
      </w:r>
    </w:p>
    <w:p w14:paraId="2B16EAFF" w14:textId="57C415F6" w:rsidR="000F4D01" w:rsidRPr="000A03F1" w:rsidRDefault="00043C36"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lastRenderedPageBreak/>
        <w:drawing>
          <wp:inline distT="0" distB="0" distL="0" distR="0" wp14:anchorId="416D40B9" wp14:editId="5D8627DB">
            <wp:extent cx="5962793" cy="2711395"/>
            <wp:effectExtent l="0" t="0" r="0" b="0"/>
            <wp:docPr id="1534699425" name="Picture 9" descr="A black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9425" name="Picture 9" descr="A black background with arrow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9548" cy="2719014"/>
                    </a:xfrm>
                    <a:prstGeom prst="rect">
                      <a:avLst/>
                    </a:prstGeom>
                    <a:noFill/>
                  </pic:spPr>
                </pic:pic>
              </a:graphicData>
            </a:graphic>
          </wp:inline>
        </w:drawing>
      </w:r>
    </w:p>
    <w:p w14:paraId="687FEB3D" w14:textId="7F08294D" w:rsidR="00B13D80" w:rsidRPr="000A03F1" w:rsidRDefault="000F4D01" w:rsidP="00B857BF">
      <w:pPr>
        <w:tabs>
          <w:tab w:val="left" w:pos="384"/>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 xml:space="preserve">Figure S1. </w:t>
      </w:r>
      <w:r w:rsidR="00B13D80" w:rsidRPr="000A03F1">
        <w:rPr>
          <w:rFonts w:ascii="Times New Roman" w:eastAsia="Calibri" w:hAnsi="Times New Roman" w:cs="Times New Roman"/>
          <w:sz w:val="24"/>
          <w:szCs w:val="24"/>
        </w:rPr>
        <w:t>The overall workflow of the analysis.</w:t>
      </w:r>
      <w:r w:rsidR="00A67A9E" w:rsidRPr="000A03F1">
        <w:rPr>
          <w:rFonts w:ascii="Times New Roman" w:eastAsia="Calibri" w:hAnsi="Times New Roman" w:cs="Times New Roman"/>
          <w:sz w:val="24"/>
          <w:szCs w:val="24"/>
        </w:rPr>
        <w:t xml:space="preserve"> The analysis start</w:t>
      </w:r>
      <w:r w:rsidR="00EE3A18" w:rsidRPr="000A03F1">
        <w:rPr>
          <w:rFonts w:ascii="Times New Roman" w:eastAsia="Calibri" w:hAnsi="Times New Roman" w:cs="Times New Roman"/>
          <w:sz w:val="24"/>
          <w:szCs w:val="24"/>
        </w:rPr>
        <w:t>ed</w:t>
      </w:r>
      <w:r w:rsidR="00A67A9E" w:rsidRPr="000A03F1">
        <w:rPr>
          <w:rFonts w:ascii="Times New Roman" w:eastAsia="Calibri" w:hAnsi="Times New Roman" w:cs="Times New Roman"/>
          <w:sz w:val="24"/>
          <w:szCs w:val="24"/>
        </w:rPr>
        <w:t xml:space="preserve"> with data training which consist</w:t>
      </w:r>
      <w:r w:rsidR="00EE3A18" w:rsidRPr="000A03F1">
        <w:rPr>
          <w:rFonts w:ascii="Times New Roman" w:eastAsia="Calibri" w:hAnsi="Times New Roman" w:cs="Times New Roman"/>
          <w:sz w:val="24"/>
          <w:szCs w:val="24"/>
        </w:rPr>
        <w:t>s</w:t>
      </w:r>
      <w:r w:rsidR="00A67A9E" w:rsidRPr="000A03F1">
        <w:rPr>
          <w:rFonts w:ascii="Times New Roman" w:eastAsia="Calibri" w:hAnsi="Times New Roman" w:cs="Times New Roman"/>
          <w:sz w:val="24"/>
          <w:szCs w:val="24"/>
        </w:rPr>
        <w:t xml:space="preserve"> of the characterising of case notification data in order to divide the population into two age groups before the seasonality of monthly DHF cases </w:t>
      </w:r>
      <w:r w:rsidR="00EE3A18" w:rsidRPr="000A03F1">
        <w:rPr>
          <w:rFonts w:ascii="Times New Roman" w:eastAsia="Calibri" w:hAnsi="Times New Roman" w:cs="Times New Roman"/>
          <w:sz w:val="24"/>
          <w:szCs w:val="24"/>
        </w:rPr>
        <w:t>was</w:t>
      </w:r>
      <w:r w:rsidR="00A67A9E" w:rsidRPr="000A03F1">
        <w:rPr>
          <w:rFonts w:ascii="Times New Roman" w:eastAsia="Calibri" w:hAnsi="Times New Roman" w:cs="Times New Roman"/>
          <w:sz w:val="24"/>
          <w:szCs w:val="24"/>
        </w:rPr>
        <w:t xml:space="preserve"> averaged</w:t>
      </w:r>
      <w:r w:rsidR="00EE3A18" w:rsidRPr="000A03F1">
        <w:rPr>
          <w:rFonts w:ascii="Times New Roman" w:eastAsia="Calibri" w:hAnsi="Times New Roman" w:cs="Times New Roman"/>
          <w:sz w:val="24"/>
          <w:szCs w:val="24"/>
        </w:rPr>
        <w:t xml:space="preserve"> by month</w:t>
      </w:r>
      <w:r w:rsidR="002677AF" w:rsidRPr="000A03F1">
        <w:rPr>
          <w:rFonts w:ascii="Times New Roman" w:eastAsia="Calibri" w:hAnsi="Times New Roman" w:cs="Times New Roman"/>
          <w:sz w:val="24"/>
          <w:szCs w:val="24"/>
        </w:rPr>
        <w:t xml:space="preserve"> (first box)</w:t>
      </w:r>
      <w:r w:rsidR="00A67A9E" w:rsidRPr="000A03F1">
        <w:rPr>
          <w:rFonts w:ascii="Times New Roman" w:eastAsia="Calibri" w:hAnsi="Times New Roman" w:cs="Times New Roman"/>
          <w:sz w:val="24"/>
          <w:szCs w:val="24"/>
        </w:rPr>
        <w:t xml:space="preserve">. </w:t>
      </w:r>
      <w:r w:rsidR="00EE3A18" w:rsidRPr="000A03F1">
        <w:rPr>
          <w:rFonts w:ascii="Times New Roman" w:eastAsia="Calibri" w:hAnsi="Times New Roman" w:cs="Times New Roman"/>
          <w:sz w:val="24"/>
          <w:szCs w:val="24"/>
        </w:rPr>
        <w:t>T</w:t>
      </w:r>
      <w:r w:rsidR="00340A91" w:rsidRPr="000A03F1">
        <w:rPr>
          <w:rFonts w:ascii="Times New Roman" w:eastAsia="Calibri" w:hAnsi="Times New Roman" w:cs="Times New Roman"/>
          <w:sz w:val="24"/>
          <w:szCs w:val="24"/>
        </w:rPr>
        <w:t xml:space="preserve">he transmission model was </w:t>
      </w:r>
      <w:r w:rsidR="003C2B58" w:rsidRPr="000A03F1">
        <w:rPr>
          <w:rFonts w:ascii="Times New Roman" w:eastAsia="Calibri" w:hAnsi="Times New Roman" w:cs="Times New Roman"/>
          <w:sz w:val="24"/>
          <w:szCs w:val="24"/>
        </w:rPr>
        <w:t xml:space="preserve">then run for 45 years, while the first 40 years was </w:t>
      </w:r>
      <w:r w:rsidR="002677AF" w:rsidRPr="000A03F1">
        <w:rPr>
          <w:rFonts w:ascii="Times New Roman" w:eastAsia="Calibri" w:hAnsi="Times New Roman" w:cs="Times New Roman"/>
          <w:sz w:val="24"/>
          <w:szCs w:val="24"/>
        </w:rPr>
        <w:t>discarded,</w:t>
      </w:r>
      <w:r w:rsidR="003C2B58" w:rsidRPr="000A03F1">
        <w:rPr>
          <w:rFonts w:ascii="Times New Roman" w:eastAsia="Calibri" w:hAnsi="Times New Roman" w:cs="Times New Roman"/>
          <w:sz w:val="24"/>
          <w:szCs w:val="24"/>
        </w:rPr>
        <w:t xml:space="preserve"> and the remaining 5 years was fitted with the data by minimising negative log-likelihood following Poisson distribution.</w:t>
      </w:r>
      <w:r w:rsidR="002677AF" w:rsidRPr="000A03F1">
        <w:rPr>
          <w:rFonts w:ascii="Times New Roman" w:eastAsia="Calibri" w:hAnsi="Times New Roman" w:cs="Times New Roman"/>
          <w:sz w:val="24"/>
          <w:szCs w:val="24"/>
        </w:rPr>
        <w:t xml:space="preserve"> Then, seroprevalence rate, vaccine coverage, and screening coverage were all calculated for modelling vaccination (second box). In the vaccination model, the model was run in order to evaluate the total hospitalised DHF cases averted after 3 years</w:t>
      </w:r>
      <w:r w:rsidR="00DD1215" w:rsidRPr="000A03F1">
        <w:rPr>
          <w:rFonts w:ascii="Times New Roman" w:eastAsia="Calibri" w:hAnsi="Times New Roman" w:cs="Times New Roman"/>
          <w:sz w:val="24"/>
          <w:szCs w:val="24"/>
        </w:rPr>
        <w:t xml:space="preserve"> (third box). The sensitivity analysis was performed by </w:t>
      </w:r>
      <w:r w:rsidR="00774FD7" w:rsidRPr="000A03F1">
        <w:rPr>
          <w:rFonts w:ascii="Times New Roman" w:eastAsia="Calibri" w:hAnsi="Times New Roman" w:cs="Times New Roman"/>
          <w:sz w:val="24"/>
          <w:szCs w:val="24"/>
        </w:rPr>
        <w:t xml:space="preserve">adjusting the vaccination timing according to </w:t>
      </w:r>
      <w:r w:rsidR="0008199C" w:rsidRPr="000A03F1">
        <w:rPr>
          <w:rFonts w:ascii="Times New Roman" w:eastAsia="Calibri" w:hAnsi="Times New Roman" w:cs="Times New Roman"/>
          <w:sz w:val="24"/>
          <w:szCs w:val="24"/>
        </w:rPr>
        <w:t>each</w:t>
      </w:r>
      <w:r w:rsidR="00774FD7" w:rsidRPr="000A03F1">
        <w:rPr>
          <w:rFonts w:ascii="Times New Roman" w:eastAsia="Calibri" w:hAnsi="Times New Roman" w:cs="Times New Roman"/>
          <w:sz w:val="24"/>
          <w:szCs w:val="24"/>
        </w:rPr>
        <w:t xml:space="preserve"> period where the each DENV serotype was the highest</w:t>
      </w:r>
      <w:r w:rsidR="0008199C" w:rsidRPr="000A03F1">
        <w:rPr>
          <w:rFonts w:ascii="Times New Roman" w:eastAsia="Calibri" w:hAnsi="Times New Roman" w:cs="Times New Roman"/>
          <w:sz w:val="24"/>
          <w:szCs w:val="24"/>
        </w:rPr>
        <w:t xml:space="preserve"> in terms of its proportion</w:t>
      </w:r>
      <w:r w:rsidR="00774FD7" w:rsidRPr="000A03F1">
        <w:rPr>
          <w:rFonts w:ascii="Times New Roman" w:eastAsia="Calibri" w:hAnsi="Times New Roman" w:cs="Times New Roman"/>
          <w:sz w:val="24"/>
          <w:szCs w:val="24"/>
        </w:rPr>
        <w:t>.</w:t>
      </w:r>
      <w:r w:rsidR="0008199C" w:rsidRPr="000A03F1">
        <w:rPr>
          <w:rFonts w:ascii="Times New Roman" w:eastAsia="Calibri" w:hAnsi="Times New Roman" w:cs="Times New Roman"/>
          <w:sz w:val="24"/>
          <w:szCs w:val="24"/>
        </w:rPr>
        <w:t xml:space="preserve"> Then, the vaccination scenario was run according to each timing and the number of hospitalised DHF cases was recalculated (fourth box)</w:t>
      </w:r>
      <w:r w:rsidR="009B2902" w:rsidRPr="000A03F1">
        <w:rPr>
          <w:rFonts w:ascii="Times New Roman" w:eastAsia="Calibri" w:hAnsi="Times New Roman" w:cs="Times New Roman"/>
          <w:sz w:val="24"/>
          <w:szCs w:val="24"/>
        </w:rPr>
        <w:t>.</w:t>
      </w:r>
    </w:p>
    <w:p w14:paraId="3EDB0427" w14:textId="10AF33E5"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lastRenderedPageBreak/>
        <w:drawing>
          <wp:inline distT="114300" distB="114300" distL="114300" distR="114300" wp14:anchorId="1B5DF714" wp14:editId="7EDC7D19">
            <wp:extent cx="5943600" cy="3162300"/>
            <wp:effectExtent l="0" t="0" r="0" b="0"/>
            <wp:docPr id="1111242481" name="Picture 1111242481" descr="A graph of multiple different types of grap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1242481" name="Picture 1111242481" descr="A graph of multiple different types of graphs&#10;&#10;Description automatically generated with medium confidence"/>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14:paraId="733B1A17" w14:textId="059A36AC" w:rsidR="00CE5A47" w:rsidRPr="000A03F1" w:rsidRDefault="00CE5A47" w:rsidP="00ED1A32">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Figure S</w:t>
      </w:r>
      <w:r w:rsidR="001B0AB0" w:rsidRPr="000A03F1">
        <w:rPr>
          <w:rFonts w:ascii="Times New Roman" w:hAnsi="Times New Roman" w:cs="Times New Roman"/>
          <w:b/>
          <w:sz w:val="20"/>
          <w:szCs w:val="20"/>
        </w:rPr>
        <w:t>2</w:t>
      </w:r>
      <w:r w:rsidRPr="000A03F1">
        <w:rPr>
          <w:rFonts w:ascii="Times New Roman" w:hAnsi="Times New Roman" w:cs="Times New Roman"/>
          <w:b/>
          <w:sz w:val="20"/>
          <w:szCs w:val="20"/>
        </w:rPr>
        <w:t>.</w:t>
      </w:r>
      <w:r w:rsidRPr="000A03F1">
        <w:rPr>
          <w:rFonts w:ascii="Times New Roman" w:hAnsi="Times New Roman" w:cs="Times New Roman"/>
          <w:sz w:val="20"/>
          <w:szCs w:val="20"/>
        </w:rPr>
        <w:t xml:space="preserve"> The trajectories of the trend and the seasonality of monthly reported DHF cases of those aged 0 - 14 years.</w:t>
      </w:r>
    </w:p>
    <w:p w14:paraId="3D64EC6D"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hAnsi="Times New Roman" w:cs="Times New Roman"/>
          <w:noProof/>
          <w:sz w:val="24"/>
          <w:szCs w:val="24"/>
        </w:rPr>
        <w:drawing>
          <wp:inline distT="114300" distB="114300" distL="114300" distR="114300" wp14:anchorId="6BB8292E" wp14:editId="1310C8B8">
            <wp:extent cx="5943600" cy="3162300"/>
            <wp:effectExtent l="0" t="0" r="0" b="0"/>
            <wp:docPr id="1698827210" name="Picture 1698827210" descr="A graph of different types of graph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98827210" name="Picture 1698827210" descr="A graph of different types of graphs&#10;&#10;Description automatically generated with medium confidence"/>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14:paraId="63CEE60A" w14:textId="399E542E" w:rsidR="00CE5A47" w:rsidRPr="000A03F1" w:rsidRDefault="00CE5A47" w:rsidP="00ED1A32">
      <w:pPr>
        <w:spacing w:line="480" w:lineRule="auto"/>
        <w:contextualSpacing/>
        <w:jc w:val="both"/>
        <w:rPr>
          <w:rFonts w:ascii="Times New Roman" w:hAnsi="Times New Roman" w:cs="Times New Roman"/>
          <w:sz w:val="20"/>
          <w:szCs w:val="20"/>
        </w:rPr>
      </w:pPr>
      <w:r w:rsidRPr="000A03F1">
        <w:rPr>
          <w:rFonts w:ascii="Times New Roman" w:hAnsi="Times New Roman" w:cs="Times New Roman"/>
          <w:b/>
          <w:sz w:val="20"/>
          <w:szCs w:val="20"/>
        </w:rPr>
        <w:t>Figure S</w:t>
      </w:r>
      <w:r w:rsidR="001B0AB0" w:rsidRPr="000A03F1">
        <w:rPr>
          <w:rFonts w:ascii="Times New Roman" w:hAnsi="Times New Roman" w:cs="Times New Roman"/>
          <w:b/>
          <w:sz w:val="20"/>
          <w:szCs w:val="20"/>
        </w:rPr>
        <w:t>3</w:t>
      </w:r>
      <w:r w:rsidRPr="000A03F1">
        <w:rPr>
          <w:rFonts w:ascii="Times New Roman" w:hAnsi="Times New Roman" w:cs="Times New Roman"/>
          <w:b/>
          <w:sz w:val="20"/>
          <w:szCs w:val="20"/>
        </w:rPr>
        <w:t>.</w:t>
      </w:r>
      <w:r w:rsidRPr="000A03F1">
        <w:rPr>
          <w:rFonts w:ascii="Times New Roman" w:hAnsi="Times New Roman" w:cs="Times New Roman"/>
          <w:sz w:val="20"/>
          <w:szCs w:val="20"/>
        </w:rPr>
        <w:t xml:space="preserve"> The trajectories of the trend and the seasonality of monthly reported DHF cases of those aged 15 to 75+ years.</w:t>
      </w:r>
    </w:p>
    <w:p w14:paraId="135C02AD"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p>
    <w:p w14:paraId="4BDF4FAF" w14:textId="32DB9B55" w:rsidR="00CE5A47" w:rsidRPr="000A03F1" w:rsidRDefault="00C73050"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25B2F303" wp14:editId="08850157">
            <wp:extent cx="6120000" cy="3802491"/>
            <wp:effectExtent l="0" t="0" r="0" b="7620"/>
            <wp:docPr id="1868079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3802491"/>
                    </a:xfrm>
                    <a:prstGeom prst="rect">
                      <a:avLst/>
                    </a:prstGeom>
                    <a:noFill/>
                  </pic:spPr>
                </pic:pic>
              </a:graphicData>
            </a:graphic>
          </wp:inline>
        </w:drawing>
      </w:r>
    </w:p>
    <w:p w14:paraId="5100C630" w14:textId="002E2695" w:rsidR="00CE5A47" w:rsidRPr="000A03F1" w:rsidRDefault="00CE5A47" w:rsidP="00ED1A32">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w:t>
      </w:r>
      <w:r w:rsidR="001B0AB0" w:rsidRPr="000A03F1">
        <w:rPr>
          <w:rFonts w:ascii="Times New Roman" w:eastAsia="Calibri" w:hAnsi="Times New Roman" w:cs="Times New Roman"/>
          <w:b/>
          <w:bCs/>
          <w:sz w:val="24"/>
          <w:szCs w:val="24"/>
        </w:rPr>
        <w:t>4</w:t>
      </w:r>
      <w:r w:rsidRPr="000A03F1">
        <w:rPr>
          <w:rFonts w:ascii="Times New Roman" w:eastAsia="Calibri" w:hAnsi="Times New Roman" w:cs="Times New Roman"/>
          <w:b/>
          <w:bCs/>
          <w:sz w:val="24"/>
          <w:szCs w:val="24"/>
        </w:rPr>
        <w:t>.</w:t>
      </w:r>
      <w:r w:rsidRPr="000A03F1">
        <w:rPr>
          <w:rFonts w:ascii="Times New Roman" w:eastAsia="Calibri" w:hAnsi="Times New Roman" w:cs="Times New Roman"/>
          <w:sz w:val="24"/>
          <w:szCs w:val="24"/>
        </w:rPr>
        <w:t xml:space="preserve"> The resulting DENV-1 to DENV-4 serotype dominance following vaccination in scenario 1.</w:t>
      </w:r>
    </w:p>
    <w:p w14:paraId="25C00292"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p>
    <w:p w14:paraId="522F5A6D" w14:textId="19172237" w:rsidR="00CE5A47" w:rsidRPr="000A03F1" w:rsidRDefault="00C73050"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59604064" wp14:editId="77584976">
            <wp:extent cx="6120000" cy="3802490"/>
            <wp:effectExtent l="0" t="0" r="0" b="7620"/>
            <wp:docPr id="1871067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000" cy="3802490"/>
                    </a:xfrm>
                    <a:prstGeom prst="rect">
                      <a:avLst/>
                    </a:prstGeom>
                    <a:noFill/>
                  </pic:spPr>
                </pic:pic>
              </a:graphicData>
            </a:graphic>
          </wp:inline>
        </w:drawing>
      </w:r>
    </w:p>
    <w:p w14:paraId="7DACFB0F" w14:textId="15531AE7" w:rsidR="00CE5A47" w:rsidRPr="000A03F1" w:rsidRDefault="00CE5A47" w:rsidP="00ED1A32">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w:t>
      </w:r>
      <w:r w:rsidR="001B0AB0" w:rsidRPr="000A03F1">
        <w:rPr>
          <w:rFonts w:ascii="Times New Roman" w:eastAsia="Calibri" w:hAnsi="Times New Roman" w:cs="Times New Roman"/>
          <w:b/>
          <w:bCs/>
          <w:sz w:val="24"/>
          <w:szCs w:val="24"/>
        </w:rPr>
        <w:t>5</w:t>
      </w:r>
      <w:r w:rsidRPr="000A03F1">
        <w:rPr>
          <w:rFonts w:ascii="Times New Roman" w:eastAsia="Calibri" w:hAnsi="Times New Roman" w:cs="Times New Roman"/>
          <w:b/>
          <w:bCs/>
          <w:sz w:val="24"/>
          <w:szCs w:val="24"/>
        </w:rPr>
        <w:t>.</w:t>
      </w:r>
      <w:r w:rsidRPr="000A03F1">
        <w:rPr>
          <w:rFonts w:ascii="Times New Roman" w:eastAsia="Calibri" w:hAnsi="Times New Roman" w:cs="Times New Roman"/>
          <w:sz w:val="24"/>
          <w:szCs w:val="24"/>
        </w:rPr>
        <w:t xml:space="preserve"> The resulting DENV-1 to DENV-4 serotype dominance following vaccination in scenario 2.</w:t>
      </w:r>
    </w:p>
    <w:p w14:paraId="70286B21"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p>
    <w:p w14:paraId="59A2B46B" w14:textId="1070136D" w:rsidR="00CE5A47" w:rsidRPr="000A03F1" w:rsidRDefault="00C73050"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075BBE84" wp14:editId="3168912C">
            <wp:extent cx="6120000" cy="3762337"/>
            <wp:effectExtent l="0" t="0" r="0" b="0"/>
            <wp:docPr id="493697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3762337"/>
                    </a:xfrm>
                    <a:prstGeom prst="rect">
                      <a:avLst/>
                    </a:prstGeom>
                    <a:noFill/>
                  </pic:spPr>
                </pic:pic>
              </a:graphicData>
            </a:graphic>
          </wp:inline>
        </w:drawing>
      </w:r>
    </w:p>
    <w:p w14:paraId="51F04835" w14:textId="6BDAD094" w:rsidR="00CE5A47" w:rsidRPr="000A03F1" w:rsidRDefault="00CE5A47" w:rsidP="005D366F">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w:t>
      </w:r>
      <w:r w:rsidR="001B0AB0" w:rsidRPr="000A03F1">
        <w:rPr>
          <w:rFonts w:ascii="Times New Roman" w:eastAsia="Calibri" w:hAnsi="Times New Roman" w:cs="Times New Roman"/>
          <w:b/>
          <w:bCs/>
          <w:sz w:val="24"/>
          <w:szCs w:val="24"/>
        </w:rPr>
        <w:t>6</w:t>
      </w:r>
      <w:r w:rsidRPr="000A03F1">
        <w:rPr>
          <w:rFonts w:ascii="Times New Roman" w:eastAsia="Calibri" w:hAnsi="Times New Roman" w:cs="Times New Roman"/>
          <w:b/>
          <w:bCs/>
          <w:sz w:val="24"/>
          <w:szCs w:val="24"/>
        </w:rPr>
        <w:t>.</w:t>
      </w:r>
      <w:r w:rsidRPr="000A03F1">
        <w:rPr>
          <w:rFonts w:ascii="Times New Roman" w:eastAsia="Calibri" w:hAnsi="Times New Roman" w:cs="Times New Roman"/>
          <w:sz w:val="24"/>
          <w:szCs w:val="24"/>
        </w:rPr>
        <w:t xml:space="preserve"> The resulting DENV-1 to DENV-4 serotype dominance following vaccination in scenario 3.</w:t>
      </w:r>
    </w:p>
    <w:p w14:paraId="0A0F0335" w14:textId="11807B5B" w:rsidR="00CE5A47" w:rsidRPr="000A03F1" w:rsidRDefault="00C73050"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10BE85AE" wp14:editId="5B2164A2">
            <wp:extent cx="6120000" cy="3766252"/>
            <wp:effectExtent l="0" t="0" r="0" b="5715"/>
            <wp:docPr id="69461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000" cy="3766252"/>
                    </a:xfrm>
                    <a:prstGeom prst="rect">
                      <a:avLst/>
                    </a:prstGeom>
                    <a:noFill/>
                  </pic:spPr>
                </pic:pic>
              </a:graphicData>
            </a:graphic>
          </wp:inline>
        </w:drawing>
      </w:r>
    </w:p>
    <w:p w14:paraId="39151136" w14:textId="2A875BCF" w:rsidR="00CE5A47" w:rsidRPr="000A03F1" w:rsidRDefault="00CE5A47" w:rsidP="00CB6EF7">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w:t>
      </w:r>
      <w:r w:rsidR="001B0AB0" w:rsidRPr="000A03F1">
        <w:rPr>
          <w:rFonts w:ascii="Times New Roman" w:eastAsia="Calibri" w:hAnsi="Times New Roman" w:cs="Times New Roman"/>
          <w:b/>
          <w:bCs/>
          <w:sz w:val="24"/>
          <w:szCs w:val="24"/>
        </w:rPr>
        <w:t>7</w:t>
      </w:r>
      <w:r w:rsidRPr="000A03F1">
        <w:rPr>
          <w:rFonts w:ascii="Times New Roman" w:eastAsia="Calibri" w:hAnsi="Times New Roman" w:cs="Times New Roman"/>
          <w:b/>
          <w:bCs/>
          <w:sz w:val="24"/>
          <w:szCs w:val="24"/>
        </w:rPr>
        <w:t>.</w:t>
      </w:r>
      <w:r w:rsidRPr="000A03F1">
        <w:rPr>
          <w:rFonts w:ascii="Times New Roman" w:eastAsia="Calibri" w:hAnsi="Times New Roman" w:cs="Times New Roman"/>
          <w:sz w:val="24"/>
          <w:szCs w:val="24"/>
        </w:rPr>
        <w:t xml:space="preserve"> The resulting DENV-1 to DENV-4 serotype dominance following vaccination in scenario 4.</w:t>
      </w:r>
    </w:p>
    <w:p w14:paraId="784216A9" w14:textId="77777777" w:rsidR="00CE5A47" w:rsidRPr="000A03F1" w:rsidRDefault="00CE5A47" w:rsidP="00741A05">
      <w:pPr>
        <w:tabs>
          <w:tab w:val="left" w:pos="384"/>
        </w:tabs>
        <w:spacing w:after="240" w:line="480" w:lineRule="auto"/>
        <w:contextualSpacing/>
        <w:rPr>
          <w:rFonts w:ascii="Times New Roman" w:eastAsia="Calibri" w:hAnsi="Times New Roman" w:cs="Times New Roman"/>
          <w:sz w:val="24"/>
          <w:szCs w:val="24"/>
        </w:rPr>
      </w:pPr>
    </w:p>
    <w:p w14:paraId="1A6C4DA1" w14:textId="4848275F" w:rsidR="00CE5A47" w:rsidRPr="000A03F1" w:rsidRDefault="00C73050" w:rsidP="00741A05">
      <w:pPr>
        <w:tabs>
          <w:tab w:val="left" w:pos="384"/>
        </w:tabs>
        <w:spacing w:after="240" w:line="480" w:lineRule="auto"/>
        <w:contextualSpacing/>
        <w:rPr>
          <w:rFonts w:ascii="Times New Roman" w:eastAsia="Calibri" w:hAnsi="Times New Roman" w:cs="Times New Roman"/>
          <w:sz w:val="24"/>
          <w:szCs w:val="24"/>
        </w:rPr>
      </w:pPr>
      <w:r w:rsidRPr="000A03F1">
        <w:rPr>
          <w:rFonts w:ascii="Times New Roman" w:eastAsia="Calibri" w:hAnsi="Times New Roman" w:cs="Times New Roman"/>
          <w:noProof/>
          <w:sz w:val="24"/>
          <w:szCs w:val="24"/>
        </w:rPr>
        <w:lastRenderedPageBreak/>
        <w:drawing>
          <wp:inline distT="0" distB="0" distL="0" distR="0" wp14:anchorId="196A6F7C" wp14:editId="3D8C3E8B">
            <wp:extent cx="6102350" cy="3755390"/>
            <wp:effectExtent l="0" t="0" r="0" b="0"/>
            <wp:docPr id="174132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2350" cy="3755390"/>
                    </a:xfrm>
                    <a:prstGeom prst="rect">
                      <a:avLst/>
                    </a:prstGeom>
                    <a:noFill/>
                  </pic:spPr>
                </pic:pic>
              </a:graphicData>
            </a:graphic>
          </wp:inline>
        </w:drawing>
      </w:r>
    </w:p>
    <w:p w14:paraId="47EAD342" w14:textId="5E7F78C8" w:rsidR="00CE5A47" w:rsidRPr="000A03F1" w:rsidRDefault="00CE5A47" w:rsidP="00CB6EF7">
      <w:pPr>
        <w:tabs>
          <w:tab w:val="left" w:pos="384"/>
          <w:tab w:val="left" w:pos="9391"/>
        </w:tabs>
        <w:spacing w:after="240" w:line="480" w:lineRule="auto"/>
        <w:contextualSpacing/>
        <w:jc w:val="both"/>
        <w:rPr>
          <w:rFonts w:ascii="Times New Roman" w:eastAsia="Calibri" w:hAnsi="Times New Roman" w:cs="Times New Roman"/>
          <w:sz w:val="24"/>
          <w:szCs w:val="24"/>
        </w:rPr>
      </w:pPr>
      <w:r w:rsidRPr="000A03F1">
        <w:rPr>
          <w:rFonts w:ascii="Times New Roman" w:eastAsia="Calibri" w:hAnsi="Times New Roman" w:cs="Times New Roman"/>
          <w:b/>
          <w:bCs/>
          <w:sz w:val="24"/>
          <w:szCs w:val="24"/>
        </w:rPr>
        <w:t>Figure S</w:t>
      </w:r>
      <w:r w:rsidR="001B0AB0" w:rsidRPr="000A03F1">
        <w:rPr>
          <w:rFonts w:ascii="Times New Roman" w:eastAsia="Calibri" w:hAnsi="Times New Roman" w:cs="Times New Roman"/>
          <w:b/>
          <w:bCs/>
          <w:sz w:val="24"/>
          <w:szCs w:val="24"/>
        </w:rPr>
        <w:t>8</w:t>
      </w:r>
      <w:r w:rsidRPr="000A03F1">
        <w:rPr>
          <w:rFonts w:ascii="Times New Roman" w:eastAsia="Calibri" w:hAnsi="Times New Roman" w:cs="Times New Roman"/>
          <w:b/>
          <w:bCs/>
          <w:sz w:val="24"/>
          <w:szCs w:val="24"/>
        </w:rPr>
        <w:t>.</w:t>
      </w:r>
      <w:r w:rsidRPr="000A03F1">
        <w:rPr>
          <w:rFonts w:ascii="Times New Roman" w:eastAsia="Calibri" w:hAnsi="Times New Roman" w:cs="Times New Roman"/>
          <w:sz w:val="24"/>
          <w:szCs w:val="24"/>
        </w:rPr>
        <w:t xml:space="preserve"> The resulting DENV-1 to DENV-4 serotype dominance following vaccination in scenario 5.</w:t>
      </w:r>
    </w:p>
    <w:p w14:paraId="14E594A0" w14:textId="3C1A073F" w:rsidR="005C7CFC" w:rsidRPr="000A03F1" w:rsidRDefault="005C7CFC" w:rsidP="001B0AB0">
      <w:pPr>
        <w:spacing w:after="160" w:line="259" w:lineRule="auto"/>
        <w:rPr>
          <w:rFonts w:ascii="Times New Roman" w:eastAsia="Calibri" w:hAnsi="Times New Roman" w:cs="Times New Roman"/>
          <w:sz w:val="24"/>
          <w:szCs w:val="24"/>
        </w:rPr>
      </w:pPr>
    </w:p>
    <w:sectPr w:rsidR="005C7CFC" w:rsidRPr="000A03F1" w:rsidSect="00484F2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2AE61" w14:textId="77777777" w:rsidR="00277E88" w:rsidRDefault="00277E88" w:rsidP="000F3991">
      <w:pPr>
        <w:spacing w:line="240" w:lineRule="auto"/>
      </w:pPr>
      <w:r>
        <w:separator/>
      </w:r>
    </w:p>
  </w:endnote>
  <w:endnote w:type="continuationSeparator" w:id="0">
    <w:p w14:paraId="7813DBFE" w14:textId="77777777" w:rsidR="00277E88" w:rsidRDefault="00277E88" w:rsidP="000F3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919865"/>
      <w:docPartObj>
        <w:docPartGallery w:val="Page Numbers (Bottom of Page)"/>
        <w:docPartUnique/>
      </w:docPartObj>
    </w:sdtPr>
    <w:sdtEndPr>
      <w:rPr>
        <w:noProof/>
      </w:rPr>
    </w:sdtEndPr>
    <w:sdtContent>
      <w:p w14:paraId="73C4B3D7" w14:textId="6A887B0A" w:rsidR="00D44203" w:rsidRDefault="00D442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8DBD31" w14:textId="77777777" w:rsidR="00D44203" w:rsidRDefault="00D44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CDD75" w14:textId="77777777" w:rsidR="00277E88" w:rsidRDefault="00277E88" w:rsidP="000F3991">
      <w:pPr>
        <w:spacing w:line="240" w:lineRule="auto"/>
      </w:pPr>
      <w:r>
        <w:separator/>
      </w:r>
    </w:p>
  </w:footnote>
  <w:footnote w:type="continuationSeparator" w:id="0">
    <w:p w14:paraId="08046D82" w14:textId="77777777" w:rsidR="00277E88" w:rsidRDefault="00277E88" w:rsidP="000F39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7B1F"/>
    <w:multiLevelType w:val="multilevel"/>
    <w:tmpl w:val="493E4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171930"/>
    <w:multiLevelType w:val="multilevel"/>
    <w:tmpl w:val="E8C0B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105889">
    <w:abstractNumId w:val="1"/>
  </w:num>
  <w:num w:numId="2" w16cid:durableId="1814561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A47"/>
    <w:rsid w:val="000038DB"/>
    <w:rsid w:val="0000773F"/>
    <w:rsid w:val="00007A55"/>
    <w:rsid w:val="0001251E"/>
    <w:rsid w:val="0001431E"/>
    <w:rsid w:val="000164B6"/>
    <w:rsid w:val="00016B1E"/>
    <w:rsid w:val="000202B5"/>
    <w:rsid w:val="000212E4"/>
    <w:rsid w:val="000213AF"/>
    <w:rsid w:val="00022BD7"/>
    <w:rsid w:val="00023B17"/>
    <w:rsid w:val="00024F37"/>
    <w:rsid w:val="00025C4B"/>
    <w:rsid w:val="00036CF4"/>
    <w:rsid w:val="00037A28"/>
    <w:rsid w:val="00041F81"/>
    <w:rsid w:val="00043C36"/>
    <w:rsid w:val="000456A7"/>
    <w:rsid w:val="00050855"/>
    <w:rsid w:val="00051742"/>
    <w:rsid w:val="0005342D"/>
    <w:rsid w:val="00055323"/>
    <w:rsid w:val="000567F9"/>
    <w:rsid w:val="000568EB"/>
    <w:rsid w:val="000804C3"/>
    <w:rsid w:val="0008199C"/>
    <w:rsid w:val="000911F7"/>
    <w:rsid w:val="0009220A"/>
    <w:rsid w:val="00094E40"/>
    <w:rsid w:val="00095FCD"/>
    <w:rsid w:val="000A0241"/>
    <w:rsid w:val="000A03F1"/>
    <w:rsid w:val="000A2CAF"/>
    <w:rsid w:val="000A2E93"/>
    <w:rsid w:val="000A59E1"/>
    <w:rsid w:val="000B47CC"/>
    <w:rsid w:val="000B484B"/>
    <w:rsid w:val="000B6AC8"/>
    <w:rsid w:val="000C65DE"/>
    <w:rsid w:val="000C7780"/>
    <w:rsid w:val="000D21E9"/>
    <w:rsid w:val="000D43F9"/>
    <w:rsid w:val="000D6B3A"/>
    <w:rsid w:val="000E3DEB"/>
    <w:rsid w:val="000E636B"/>
    <w:rsid w:val="000E7A29"/>
    <w:rsid w:val="000F19D6"/>
    <w:rsid w:val="000F339B"/>
    <w:rsid w:val="000F36A9"/>
    <w:rsid w:val="000F3991"/>
    <w:rsid w:val="000F4D01"/>
    <w:rsid w:val="0010533A"/>
    <w:rsid w:val="00110B7E"/>
    <w:rsid w:val="00112958"/>
    <w:rsid w:val="00115E3E"/>
    <w:rsid w:val="001253CC"/>
    <w:rsid w:val="00127434"/>
    <w:rsid w:val="00127C64"/>
    <w:rsid w:val="00134D98"/>
    <w:rsid w:val="00136FEC"/>
    <w:rsid w:val="001376D8"/>
    <w:rsid w:val="00137E79"/>
    <w:rsid w:val="00144D32"/>
    <w:rsid w:val="00152653"/>
    <w:rsid w:val="001577B2"/>
    <w:rsid w:val="0015797C"/>
    <w:rsid w:val="001610A9"/>
    <w:rsid w:val="001627BB"/>
    <w:rsid w:val="00164024"/>
    <w:rsid w:val="00165818"/>
    <w:rsid w:val="00170067"/>
    <w:rsid w:val="001711A6"/>
    <w:rsid w:val="00171254"/>
    <w:rsid w:val="00176800"/>
    <w:rsid w:val="001824AF"/>
    <w:rsid w:val="00186203"/>
    <w:rsid w:val="00186B01"/>
    <w:rsid w:val="001950F2"/>
    <w:rsid w:val="001957E3"/>
    <w:rsid w:val="001970B9"/>
    <w:rsid w:val="00197400"/>
    <w:rsid w:val="001A1C55"/>
    <w:rsid w:val="001A3B40"/>
    <w:rsid w:val="001A7C58"/>
    <w:rsid w:val="001B0AB0"/>
    <w:rsid w:val="001B100E"/>
    <w:rsid w:val="001B4974"/>
    <w:rsid w:val="001B5317"/>
    <w:rsid w:val="001C32FC"/>
    <w:rsid w:val="001C45BF"/>
    <w:rsid w:val="001C5B52"/>
    <w:rsid w:val="001C7823"/>
    <w:rsid w:val="001D328D"/>
    <w:rsid w:val="001D3DB5"/>
    <w:rsid w:val="001E3608"/>
    <w:rsid w:val="001E4B9A"/>
    <w:rsid w:val="001E504B"/>
    <w:rsid w:val="001F04BB"/>
    <w:rsid w:val="001F08AE"/>
    <w:rsid w:val="001F6382"/>
    <w:rsid w:val="001F6889"/>
    <w:rsid w:val="001F68CB"/>
    <w:rsid w:val="001F7C6E"/>
    <w:rsid w:val="002003C0"/>
    <w:rsid w:val="00200E60"/>
    <w:rsid w:val="00205406"/>
    <w:rsid w:val="0020556A"/>
    <w:rsid w:val="002056D6"/>
    <w:rsid w:val="00211526"/>
    <w:rsid w:val="00215545"/>
    <w:rsid w:val="00226ACA"/>
    <w:rsid w:val="00227E45"/>
    <w:rsid w:val="002316D8"/>
    <w:rsid w:val="00231C51"/>
    <w:rsid w:val="002325B9"/>
    <w:rsid w:val="0023622D"/>
    <w:rsid w:val="00243E2B"/>
    <w:rsid w:val="002444D1"/>
    <w:rsid w:val="0024654D"/>
    <w:rsid w:val="0025223C"/>
    <w:rsid w:val="0026497C"/>
    <w:rsid w:val="002658EA"/>
    <w:rsid w:val="00265E6E"/>
    <w:rsid w:val="0026751A"/>
    <w:rsid w:val="002677AF"/>
    <w:rsid w:val="00267B2D"/>
    <w:rsid w:val="0027027C"/>
    <w:rsid w:val="002707E6"/>
    <w:rsid w:val="00272E44"/>
    <w:rsid w:val="0027448B"/>
    <w:rsid w:val="00275CFD"/>
    <w:rsid w:val="00277E88"/>
    <w:rsid w:val="0028059B"/>
    <w:rsid w:val="00280D4C"/>
    <w:rsid w:val="00282105"/>
    <w:rsid w:val="002828F9"/>
    <w:rsid w:val="00283A49"/>
    <w:rsid w:val="00287E0A"/>
    <w:rsid w:val="00296F75"/>
    <w:rsid w:val="00297BB8"/>
    <w:rsid w:val="002A0D19"/>
    <w:rsid w:val="002A0E03"/>
    <w:rsid w:val="002A0E17"/>
    <w:rsid w:val="002A7B4F"/>
    <w:rsid w:val="002B4BF8"/>
    <w:rsid w:val="002B5FFC"/>
    <w:rsid w:val="002C3006"/>
    <w:rsid w:val="002C6CBE"/>
    <w:rsid w:val="002D01FB"/>
    <w:rsid w:val="002D7656"/>
    <w:rsid w:val="002D7B59"/>
    <w:rsid w:val="002E0927"/>
    <w:rsid w:val="002E0CD0"/>
    <w:rsid w:val="002E79A8"/>
    <w:rsid w:val="00304DAF"/>
    <w:rsid w:val="00305F70"/>
    <w:rsid w:val="00307E25"/>
    <w:rsid w:val="00311FE2"/>
    <w:rsid w:val="00314ECC"/>
    <w:rsid w:val="00320BEA"/>
    <w:rsid w:val="003211BF"/>
    <w:rsid w:val="0032365A"/>
    <w:rsid w:val="00324682"/>
    <w:rsid w:val="00325F43"/>
    <w:rsid w:val="003265EF"/>
    <w:rsid w:val="00327139"/>
    <w:rsid w:val="00327F8B"/>
    <w:rsid w:val="00330653"/>
    <w:rsid w:val="0033076E"/>
    <w:rsid w:val="00332C4C"/>
    <w:rsid w:val="00333046"/>
    <w:rsid w:val="0033719A"/>
    <w:rsid w:val="00337EEE"/>
    <w:rsid w:val="00340149"/>
    <w:rsid w:val="00340A91"/>
    <w:rsid w:val="0034466D"/>
    <w:rsid w:val="003464AD"/>
    <w:rsid w:val="00353299"/>
    <w:rsid w:val="00360ADC"/>
    <w:rsid w:val="003610F9"/>
    <w:rsid w:val="003677E7"/>
    <w:rsid w:val="003700EB"/>
    <w:rsid w:val="00370E16"/>
    <w:rsid w:val="003738E3"/>
    <w:rsid w:val="00373FBB"/>
    <w:rsid w:val="00375922"/>
    <w:rsid w:val="00381FAD"/>
    <w:rsid w:val="00391965"/>
    <w:rsid w:val="0039518C"/>
    <w:rsid w:val="00397781"/>
    <w:rsid w:val="003A0A6A"/>
    <w:rsid w:val="003A212C"/>
    <w:rsid w:val="003A396A"/>
    <w:rsid w:val="003A3DCD"/>
    <w:rsid w:val="003A4417"/>
    <w:rsid w:val="003A4BF0"/>
    <w:rsid w:val="003A6540"/>
    <w:rsid w:val="003B0DC9"/>
    <w:rsid w:val="003B468B"/>
    <w:rsid w:val="003B6469"/>
    <w:rsid w:val="003C07C2"/>
    <w:rsid w:val="003C2B58"/>
    <w:rsid w:val="003C37EB"/>
    <w:rsid w:val="003C42DC"/>
    <w:rsid w:val="003C6733"/>
    <w:rsid w:val="003C7A84"/>
    <w:rsid w:val="003D1FAB"/>
    <w:rsid w:val="003D3913"/>
    <w:rsid w:val="003D4BF4"/>
    <w:rsid w:val="003D5BB5"/>
    <w:rsid w:val="003D68E4"/>
    <w:rsid w:val="003E0033"/>
    <w:rsid w:val="003E4A99"/>
    <w:rsid w:val="003E50C3"/>
    <w:rsid w:val="003F10EC"/>
    <w:rsid w:val="003F317C"/>
    <w:rsid w:val="003F6BC2"/>
    <w:rsid w:val="00402428"/>
    <w:rsid w:val="00413A43"/>
    <w:rsid w:val="00414BD3"/>
    <w:rsid w:val="004173A7"/>
    <w:rsid w:val="004202C1"/>
    <w:rsid w:val="0042392F"/>
    <w:rsid w:val="00424DCB"/>
    <w:rsid w:val="004266ED"/>
    <w:rsid w:val="00427D07"/>
    <w:rsid w:val="00431EE6"/>
    <w:rsid w:val="00434B84"/>
    <w:rsid w:val="00437803"/>
    <w:rsid w:val="00441B3C"/>
    <w:rsid w:val="00442BA9"/>
    <w:rsid w:val="004448F2"/>
    <w:rsid w:val="00445AF2"/>
    <w:rsid w:val="004504BD"/>
    <w:rsid w:val="00450F27"/>
    <w:rsid w:val="00455594"/>
    <w:rsid w:val="00456197"/>
    <w:rsid w:val="00456267"/>
    <w:rsid w:val="00457EE1"/>
    <w:rsid w:val="00460ABB"/>
    <w:rsid w:val="00461132"/>
    <w:rsid w:val="004626B9"/>
    <w:rsid w:val="00465FE5"/>
    <w:rsid w:val="0046673B"/>
    <w:rsid w:val="00466836"/>
    <w:rsid w:val="00466AC5"/>
    <w:rsid w:val="004729AD"/>
    <w:rsid w:val="00472BA4"/>
    <w:rsid w:val="00474446"/>
    <w:rsid w:val="00477F79"/>
    <w:rsid w:val="00480550"/>
    <w:rsid w:val="00484CAD"/>
    <w:rsid w:val="00484F27"/>
    <w:rsid w:val="00486756"/>
    <w:rsid w:val="004876E1"/>
    <w:rsid w:val="00492FC6"/>
    <w:rsid w:val="004949A8"/>
    <w:rsid w:val="00496CE3"/>
    <w:rsid w:val="004A0EE4"/>
    <w:rsid w:val="004A1165"/>
    <w:rsid w:val="004A125C"/>
    <w:rsid w:val="004A2915"/>
    <w:rsid w:val="004A3106"/>
    <w:rsid w:val="004A316C"/>
    <w:rsid w:val="004A4577"/>
    <w:rsid w:val="004A62C1"/>
    <w:rsid w:val="004B23C6"/>
    <w:rsid w:val="004B72A9"/>
    <w:rsid w:val="004B7F37"/>
    <w:rsid w:val="004C0373"/>
    <w:rsid w:val="004C47F3"/>
    <w:rsid w:val="004D079C"/>
    <w:rsid w:val="004D1B4F"/>
    <w:rsid w:val="004D4793"/>
    <w:rsid w:val="004D5D10"/>
    <w:rsid w:val="004E0191"/>
    <w:rsid w:val="004E3116"/>
    <w:rsid w:val="004E34ED"/>
    <w:rsid w:val="004E636C"/>
    <w:rsid w:val="004F2F72"/>
    <w:rsid w:val="004F31B7"/>
    <w:rsid w:val="004F5149"/>
    <w:rsid w:val="004F62BB"/>
    <w:rsid w:val="004F63E2"/>
    <w:rsid w:val="004F7960"/>
    <w:rsid w:val="004F7C7B"/>
    <w:rsid w:val="00500D29"/>
    <w:rsid w:val="00501BDF"/>
    <w:rsid w:val="00501F33"/>
    <w:rsid w:val="00502CF3"/>
    <w:rsid w:val="00506D6F"/>
    <w:rsid w:val="00512D14"/>
    <w:rsid w:val="00513DD3"/>
    <w:rsid w:val="005149F6"/>
    <w:rsid w:val="00515414"/>
    <w:rsid w:val="00516050"/>
    <w:rsid w:val="0051696D"/>
    <w:rsid w:val="00521940"/>
    <w:rsid w:val="005237DC"/>
    <w:rsid w:val="00524160"/>
    <w:rsid w:val="00524A1F"/>
    <w:rsid w:val="00526B0F"/>
    <w:rsid w:val="00530A1C"/>
    <w:rsid w:val="00532115"/>
    <w:rsid w:val="00536165"/>
    <w:rsid w:val="00536193"/>
    <w:rsid w:val="005442B4"/>
    <w:rsid w:val="00544735"/>
    <w:rsid w:val="005476DD"/>
    <w:rsid w:val="00550A10"/>
    <w:rsid w:val="00555C01"/>
    <w:rsid w:val="00563DBF"/>
    <w:rsid w:val="00565C08"/>
    <w:rsid w:val="005739B4"/>
    <w:rsid w:val="00574D00"/>
    <w:rsid w:val="0058018A"/>
    <w:rsid w:val="0058180E"/>
    <w:rsid w:val="00583678"/>
    <w:rsid w:val="00597CB1"/>
    <w:rsid w:val="005A2CC7"/>
    <w:rsid w:val="005A4C16"/>
    <w:rsid w:val="005A5785"/>
    <w:rsid w:val="005A57DC"/>
    <w:rsid w:val="005A637E"/>
    <w:rsid w:val="005A6554"/>
    <w:rsid w:val="005B026B"/>
    <w:rsid w:val="005B038B"/>
    <w:rsid w:val="005C236B"/>
    <w:rsid w:val="005C27B3"/>
    <w:rsid w:val="005C4AF1"/>
    <w:rsid w:val="005C5A36"/>
    <w:rsid w:val="005C6251"/>
    <w:rsid w:val="005C7CFC"/>
    <w:rsid w:val="005D366F"/>
    <w:rsid w:val="005D4C1A"/>
    <w:rsid w:val="005D56AA"/>
    <w:rsid w:val="005E466F"/>
    <w:rsid w:val="005F3200"/>
    <w:rsid w:val="00601B8D"/>
    <w:rsid w:val="0060424C"/>
    <w:rsid w:val="00604891"/>
    <w:rsid w:val="006059BE"/>
    <w:rsid w:val="006177BD"/>
    <w:rsid w:val="00617CDC"/>
    <w:rsid w:val="00620518"/>
    <w:rsid w:val="0063062C"/>
    <w:rsid w:val="00630F6D"/>
    <w:rsid w:val="00631989"/>
    <w:rsid w:val="00631A5B"/>
    <w:rsid w:val="00632AE7"/>
    <w:rsid w:val="006345B0"/>
    <w:rsid w:val="00636A8D"/>
    <w:rsid w:val="00636BA6"/>
    <w:rsid w:val="00640942"/>
    <w:rsid w:val="00641E2C"/>
    <w:rsid w:val="00644556"/>
    <w:rsid w:val="00645815"/>
    <w:rsid w:val="00650D67"/>
    <w:rsid w:val="00651508"/>
    <w:rsid w:val="00653915"/>
    <w:rsid w:val="006539FC"/>
    <w:rsid w:val="00653BF2"/>
    <w:rsid w:val="00654CD7"/>
    <w:rsid w:val="006564F9"/>
    <w:rsid w:val="00657D8E"/>
    <w:rsid w:val="006601F4"/>
    <w:rsid w:val="006652BE"/>
    <w:rsid w:val="00673009"/>
    <w:rsid w:val="00673026"/>
    <w:rsid w:val="006770FB"/>
    <w:rsid w:val="00680B63"/>
    <w:rsid w:val="00681D61"/>
    <w:rsid w:val="0068443A"/>
    <w:rsid w:val="00684E5E"/>
    <w:rsid w:val="006877E1"/>
    <w:rsid w:val="00692135"/>
    <w:rsid w:val="006923CE"/>
    <w:rsid w:val="00693BC5"/>
    <w:rsid w:val="006956C2"/>
    <w:rsid w:val="00695729"/>
    <w:rsid w:val="006A0144"/>
    <w:rsid w:val="006A2305"/>
    <w:rsid w:val="006A3D38"/>
    <w:rsid w:val="006A4BA6"/>
    <w:rsid w:val="006A4D98"/>
    <w:rsid w:val="006A618F"/>
    <w:rsid w:val="006A6A04"/>
    <w:rsid w:val="006A7B23"/>
    <w:rsid w:val="006B1927"/>
    <w:rsid w:val="006B1E15"/>
    <w:rsid w:val="006B26BE"/>
    <w:rsid w:val="006B45AB"/>
    <w:rsid w:val="006B4F77"/>
    <w:rsid w:val="006B6443"/>
    <w:rsid w:val="006B65C0"/>
    <w:rsid w:val="006B6C19"/>
    <w:rsid w:val="006B702F"/>
    <w:rsid w:val="006B7DB1"/>
    <w:rsid w:val="006C0A3C"/>
    <w:rsid w:val="006C2CD3"/>
    <w:rsid w:val="006C2F8B"/>
    <w:rsid w:val="006C480D"/>
    <w:rsid w:val="006C5E10"/>
    <w:rsid w:val="006C72C0"/>
    <w:rsid w:val="006D0542"/>
    <w:rsid w:val="006D1E90"/>
    <w:rsid w:val="006D5A20"/>
    <w:rsid w:val="006D6CA2"/>
    <w:rsid w:val="006D6FC5"/>
    <w:rsid w:val="006E1098"/>
    <w:rsid w:val="006E1487"/>
    <w:rsid w:val="006E5CF3"/>
    <w:rsid w:val="006E618B"/>
    <w:rsid w:val="006F15D4"/>
    <w:rsid w:val="006F28B6"/>
    <w:rsid w:val="00700FAB"/>
    <w:rsid w:val="00703AB7"/>
    <w:rsid w:val="0070673D"/>
    <w:rsid w:val="00707609"/>
    <w:rsid w:val="00711189"/>
    <w:rsid w:val="00715C39"/>
    <w:rsid w:val="007174F4"/>
    <w:rsid w:val="00724586"/>
    <w:rsid w:val="00725A8C"/>
    <w:rsid w:val="007262C7"/>
    <w:rsid w:val="00727412"/>
    <w:rsid w:val="00730FF6"/>
    <w:rsid w:val="00734948"/>
    <w:rsid w:val="00736B2B"/>
    <w:rsid w:val="0073762C"/>
    <w:rsid w:val="00740AC1"/>
    <w:rsid w:val="00741A05"/>
    <w:rsid w:val="00741A69"/>
    <w:rsid w:val="00741A8A"/>
    <w:rsid w:val="00746289"/>
    <w:rsid w:val="00746416"/>
    <w:rsid w:val="00752681"/>
    <w:rsid w:val="00752D6C"/>
    <w:rsid w:val="00755065"/>
    <w:rsid w:val="007556E8"/>
    <w:rsid w:val="0075726E"/>
    <w:rsid w:val="00763FDF"/>
    <w:rsid w:val="0076508D"/>
    <w:rsid w:val="0076586F"/>
    <w:rsid w:val="00773FE6"/>
    <w:rsid w:val="00774ED1"/>
    <w:rsid w:val="00774FD7"/>
    <w:rsid w:val="007774A0"/>
    <w:rsid w:val="007816D5"/>
    <w:rsid w:val="007820ED"/>
    <w:rsid w:val="00782B96"/>
    <w:rsid w:val="0078303E"/>
    <w:rsid w:val="00783153"/>
    <w:rsid w:val="0078565C"/>
    <w:rsid w:val="007905BB"/>
    <w:rsid w:val="007919DD"/>
    <w:rsid w:val="00791ED7"/>
    <w:rsid w:val="00792120"/>
    <w:rsid w:val="007921BE"/>
    <w:rsid w:val="00795616"/>
    <w:rsid w:val="0079655C"/>
    <w:rsid w:val="00797797"/>
    <w:rsid w:val="007A2FEC"/>
    <w:rsid w:val="007A3059"/>
    <w:rsid w:val="007A59C7"/>
    <w:rsid w:val="007B1335"/>
    <w:rsid w:val="007B3274"/>
    <w:rsid w:val="007C1271"/>
    <w:rsid w:val="007C3BC5"/>
    <w:rsid w:val="007C3BDA"/>
    <w:rsid w:val="007D109E"/>
    <w:rsid w:val="007D1C10"/>
    <w:rsid w:val="007D689A"/>
    <w:rsid w:val="007E1073"/>
    <w:rsid w:val="007E5CED"/>
    <w:rsid w:val="007E6B8E"/>
    <w:rsid w:val="007F0392"/>
    <w:rsid w:val="007F0F0A"/>
    <w:rsid w:val="007F13DA"/>
    <w:rsid w:val="007F4683"/>
    <w:rsid w:val="00801522"/>
    <w:rsid w:val="008070A6"/>
    <w:rsid w:val="00807CCE"/>
    <w:rsid w:val="00807EA6"/>
    <w:rsid w:val="00813046"/>
    <w:rsid w:val="008149EE"/>
    <w:rsid w:val="00820541"/>
    <w:rsid w:val="00823A08"/>
    <w:rsid w:val="008244DB"/>
    <w:rsid w:val="008274DC"/>
    <w:rsid w:val="008307FE"/>
    <w:rsid w:val="00832BF6"/>
    <w:rsid w:val="008366A8"/>
    <w:rsid w:val="008418D5"/>
    <w:rsid w:val="00850038"/>
    <w:rsid w:val="00851830"/>
    <w:rsid w:val="00855952"/>
    <w:rsid w:val="0085792A"/>
    <w:rsid w:val="00857EE7"/>
    <w:rsid w:val="00863E07"/>
    <w:rsid w:val="00867390"/>
    <w:rsid w:val="00870014"/>
    <w:rsid w:val="008723CF"/>
    <w:rsid w:val="008743F1"/>
    <w:rsid w:val="0087530D"/>
    <w:rsid w:val="00875E75"/>
    <w:rsid w:val="008761A5"/>
    <w:rsid w:val="00882ABB"/>
    <w:rsid w:val="0088739E"/>
    <w:rsid w:val="0088795F"/>
    <w:rsid w:val="00894B40"/>
    <w:rsid w:val="00894BA3"/>
    <w:rsid w:val="0089753C"/>
    <w:rsid w:val="008A052A"/>
    <w:rsid w:val="008A185C"/>
    <w:rsid w:val="008B3274"/>
    <w:rsid w:val="008B3790"/>
    <w:rsid w:val="008C03FE"/>
    <w:rsid w:val="008C38F6"/>
    <w:rsid w:val="008C468E"/>
    <w:rsid w:val="008C5F90"/>
    <w:rsid w:val="008C7E0D"/>
    <w:rsid w:val="008D0AAE"/>
    <w:rsid w:val="008D2366"/>
    <w:rsid w:val="008D47A1"/>
    <w:rsid w:val="008E2D98"/>
    <w:rsid w:val="008E7D21"/>
    <w:rsid w:val="008F0AE3"/>
    <w:rsid w:val="008F3220"/>
    <w:rsid w:val="008F3FDD"/>
    <w:rsid w:val="008F5982"/>
    <w:rsid w:val="009009B4"/>
    <w:rsid w:val="009025AD"/>
    <w:rsid w:val="00902949"/>
    <w:rsid w:val="0090641F"/>
    <w:rsid w:val="0091052A"/>
    <w:rsid w:val="00915E88"/>
    <w:rsid w:val="0092203D"/>
    <w:rsid w:val="00927791"/>
    <w:rsid w:val="00931737"/>
    <w:rsid w:val="00941028"/>
    <w:rsid w:val="00946D0B"/>
    <w:rsid w:val="00951581"/>
    <w:rsid w:val="00954D74"/>
    <w:rsid w:val="009609E4"/>
    <w:rsid w:val="0096133C"/>
    <w:rsid w:val="00963D62"/>
    <w:rsid w:val="00966901"/>
    <w:rsid w:val="00985189"/>
    <w:rsid w:val="00985E99"/>
    <w:rsid w:val="00987350"/>
    <w:rsid w:val="00990166"/>
    <w:rsid w:val="0099089F"/>
    <w:rsid w:val="00992F28"/>
    <w:rsid w:val="00993133"/>
    <w:rsid w:val="009931BC"/>
    <w:rsid w:val="00996884"/>
    <w:rsid w:val="00996CAB"/>
    <w:rsid w:val="009A6610"/>
    <w:rsid w:val="009A799B"/>
    <w:rsid w:val="009B2902"/>
    <w:rsid w:val="009B58F7"/>
    <w:rsid w:val="009C51A4"/>
    <w:rsid w:val="009C5FFA"/>
    <w:rsid w:val="009C678E"/>
    <w:rsid w:val="009D158E"/>
    <w:rsid w:val="009D4A1C"/>
    <w:rsid w:val="009E0E89"/>
    <w:rsid w:val="009E1238"/>
    <w:rsid w:val="009F32A2"/>
    <w:rsid w:val="009F59A8"/>
    <w:rsid w:val="009F76CD"/>
    <w:rsid w:val="00A00385"/>
    <w:rsid w:val="00A0224F"/>
    <w:rsid w:val="00A03F05"/>
    <w:rsid w:val="00A04E32"/>
    <w:rsid w:val="00A05F4A"/>
    <w:rsid w:val="00A06227"/>
    <w:rsid w:val="00A108FC"/>
    <w:rsid w:val="00A11237"/>
    <w:rsid w:val="00A12F53"/>
    <w:rsid w:val="00A21939"/>
    <w:rsid w:val="00A33315"/>
    <w:rsid w:val="00A34E20"/>
    <w:rsid w:val="00A3607E"/>
    <w:rsid w:val="00A36D6E"/>
    <w:rsid w:val="00A37F9A"/>
    <w:rsid w:val="00A42AD2"/>
    <w:rsid w:val="00A450A7"/>
    <w:rsid w:val="00A4729D"/>
    <w:rsid w:val="00A50CF2"/>
    <w:rsid w:val="00A52D51"/>
    <w:rsid w:val="00A531B3"/>
    <w:rsid w:val="00A54D75"/>
    <w:rsid w:val="00A54F0E"/>
    <w:rsid w:val="00A563F6"/>
    <w:rsid w:val="00A62119"/>
    <w:rsid w:val="00A628F6"/>
    <w:rsid w:val="00A6626B"/>
    <w:rsid w:val="00A67A9E"/>
    <w:rsid w:val="00A74226"/>
    <w:rsid w:val="00A747CB"/>
    <w:rsid w:val="00A76818"/>
    <w:rsid w:val="00A76CFB"/>
    <w:rsid w:val="00A771B6"/>
    <w:rsid w:val="00A822B0"/>
    <w:rsid w:val="00A82F81"/>
    <w:rsid w:val="00A838EE"/>
    <w:rsid w:val="00A91FE5"/>
    <w:rsid w:val="00A92F40"/>
    <w:rsid w:val="00A94937"/>
    <w:rsid w:val="00AA25D4"/>
    <w:rsid w:val="00AB0528"/>
    <w:rsid w:val="00AB066D"/>
    <w:rsid w:val="00AB2DAA"/>
    <w:rsid w:val="00AB5122"/>
    <w:rsid w:val="00AB6036"/>
    <w:rsid w:val="00AC2EB8"/>
    <w:rsid w:val="00AC3218"/>
    <w:rsid w:val="00AC36B2"/>
    <w:rsid w:val="00AC4142"/>
    <w:rsid w:val="00AC427C"/>
    <w:rsid w:val="00AD3370"/>
    <w:rsid w:val="00AD5712"/>
    <w:rsid w:val="00AE0825"/>
    <w:rsid w:val="00AE212F"/>
    <w:rsid w:val="00AE6DC5"/>
    <w:rsid w:val="00AE757F"/>
    <w:rsid w:val="00AF246F"/>
    <w:rsid w:val="00AF3082"/>
    <w:rsid w:val="00AF34BA"/>
    <w:rsid w:val="00AF45D7"/>
    <w:rsid w:val="00AF7E54"/>
    <w:rsid w:val="00B03CA5"/>
    <w:rsid w:val="00B13D80"/>
    <w:rsid w:val="00B149CC"/>
    <w:rsid w:val="00B159C2"/>
    <w:rsid w:val="00B17C23"/>
    <w:rsid w:val="00B20155"/>
    <w:rsid w:val="00B2081D"/>
    <w:rsid w:val="00B24036"/>
    <w:rsid w:val="00B250B5"/>
    <w:rsid w:val="00B25FB4"/>
    <w:rsid w:val="00B26225"/>
    <w:rsid w:val="00B2649A"/>
    <w:rsid w:val="00B268FB"/>
    <w:rsid w:val="00B306AF"/>
    <w:rsid w:val="00B31EBE"/>
    <w:rsid w:val="00B4220F"/>
    <w:rsid w:val="00B42FC3"/>
    <w:rsid w:val="00B4343E"/>
    <w:rsid w:val="00B44F2C"/>
    <w:rsid w:val="00B5186B"/>
    <w:rsid w:val="00B549B3"/>
    <w:rsid w:val="00B60174"/>
    <w:rsid w:val="00B61D90"/>
    <w:rsid w:val="00B65444"/>
    <w:rsid w:val="00B6563F"/>
    <w:rsid w:val="00B66531"/>
    <w:rsid w:val="00B701BF"/>
    <w:rsid w:val="00B70A8B"/>
    <w:rsid w:val="00B72A6F"/>
    <w:rsid w:val="00B74B48"/>
    <w:rsid w:val="00B836DA"/>
    <w:rsid w:val="00B847DA"/>
    <w:rsid w:val="00B857BF"/>
    <w:rsid w:val="00B91342"/>
    <w:rsid w:val="00B94A14"/>
    <w:rsid w:val="00B964F3"/>
    <w:rsid w:val="00B97F1D"/>
    <w:rsid w:val="00BA077F"/>
    <w:rsid w:val="00BA1E4E"/>
    <w:rsid w:val="00BA5F0F"/>
    <w:rsid w:val="00BA72F6"/>
    <w:rsid w:val="00BB07DE"/>
    <w:rsid w:val="00BB1362"/>
    <w:rsid w:val="00BB1D34"/>
    <w:rsid w:val="00BB3A75"/>
    <w:rsid w:val="00BB3BE2"/>
    <w:rsid w:val="00BB6973"/>
    <w:rsid w:val="00BC1B6E"/>
    <w:rsid w:val="00BC329A"/>
    <w:rsid w:val="00BC6CC0"/>
    <w:rsid w:val="00BD168F"/>
    <w:rsid w:val="00BD25AF"/>
    <w:rsid w:val="00BD3F3C"/>
    <w:rsid w:val="00BD4751"/>
    <w:rsid w:val="00BD5B77"/>
    <w:rsid w:val="00BD6797"/>
    <w:rsid w:val="00BE4CCC"/>
    <w:rsid w:val="00BE5A5B"/>
    <w:rsid w:val="00BF45BA"/>
    <w:rsid w:val="00BF6817"/>
    <w:rsid w:val="00BF70EA"/>
    <w:rsid w:val="00BF74A9"/>
    <w:rsid w:val="00C0467D"/>
    <w:rsid w:val="00C05409"/>
    <w:rsid w:val="00C0619C"/>
    <w:rsid w:val="00C061A8"/>
    <w:rsid w:val="00C21E3C"/>
    <w:rsid w:val="00C3404B"/>
    <w:rsid w:val="00C35D98"/>
    <w:rsid w:val="00C404F6"/>
    <w:rsid w:val="00C46372"/>
    <w:rsid w:val="00C46DC4"/>
    <w:rsid w:val="00C53CAA"/>
    <w:rsid w:val="00C5563B"/>
    <w:rsid w:val="00C574E1"/>
    <w:rsid w:val="00C57D47"/>
    <w:rsid w:val="00C62FB0"/>
    <w:rsid w:val="00C649BA"/>
    <w:rsid w:val="00C66AE4"/>
    <w:rsid w:val="00C7218E"/>
    <w:rsid w:val="00C7232A"/>
    <w:rsid w:val="00C7248F"/>
    <w:rsid w:val="00C73050"/>
    <w:rsid w:val="00C74E8C"/>
    <w:rsid w:val="00C767A0"/>
    <w:rsid w:val="00C81A92"/>
    <w:rsid w:val="00C846F2"/>
    <w:rsid w:val="00C84E58"/>
    <w:rsid w:val="00C86E91"/>
    <w:rsid w:val="00C94B45"/>
    <w:rsid w:val="00C95600"/>
    <w:rsid w:val="00C95D3C"/>
    <w:rsid w:val="00C95D6A"/>
    <w:rsid w:val="00C97B10"/>
    <w:rsid w:val="00CA02BF"/>
    <w:rsid w:val="00CA1C68"/>
    <w:rsid w:val="00CA5DDC"/>
    <w:rsid w:val="00CA6B29"/>
    <w:rsid w:val="00CB315A"/>
    <w:rsid w:val="00CB6A1E"/>
    <w:rsid w:val="00CB6EF7"/>
    <w:rsid w:val="00CB7996"/>
    <w:rsid w:val="00CC5FFC"/>
    <w:rsid w:val="00CC73DF"/>
    <w:rsid w:val="00CD0DA1"/>
    <w:rsid w:val="00CD2A2C"/>
    <w:rsid w:val="00CD4AFC"/>
    <w:rsid w:val="00CD758B"/>
    <w:rsid w:val="00CE1AB0"/>
    <w:rsid w:val="00CE3CE5"/>
    <w:rsid w:val="00CE4BBC"/>
    <w:rsid w:val="00CE5A47"/>
    <w:rsid w:val="00CE6085"/>
    <w:rsid w:val="00CE6B48"/>
    <w:rsid w:val="00CE7494"/>
    <w:rsid w:val="00CF40F8"/>
    <w:rsid w:val="00CF4B91"/>
    <w:rsid w:val="00D01D1A"/>
    <w:rsid w:val="00D102C6"/>
    <w:rsid w:val="00D12E0E"/>
    <w:rsid w:val="00D13635"/>
    <w:rsid w:val="00D13B58"/>
    <w:rsid w:val="00D1416B"/>
    <w:rsid w:val="00D15B90"/>
    <w:rsid w:val="00D17524"/>
    <w:rsid w:val="00D23189"/>
    <w:rsid w:val="00D25B52"/>
    <w:rsid w:val="00D279D5"/>
    <w:rsid w:val="00D335EE"/>
    <w:rsid w:val="00D36040"/>
    <w:rsid w:val="00D37E9E"/>
    <w:rsid w:val="00D44203"/>
    <w:rsid w:val="00D44A26"/>
    <w:rsid w:val="00D45318"/>
    <w:rsid w:val="00D45DEC"/>
    <w:rsid w:val="00D46AE1"/>
    <w:rsid w:val="00D53CE1"/>
    <w:rsid w:val="00D55FCF"/>
    <w:rsid w:val="00D56F29"/>
    <w:rsid w:val="00D57A75"/>
    <w:rsid w:val="00D61D8F"/>
    <w:rsid w:val="00D62AE3"/>
    <w:rsid w:val="00D639F7"/>
    <w:rsid w:val="00D641EF"/>
    <w:rsid w:val="00D6487E"/>
    <w:rsid w:val="00D6533B"/>
    <w:rsid w:val="00D656A5"/>
    <w:rsid w:val="00D67FBE"/>
    <w:rsid w:val="00D72C87"/>
    <w:rsid w:val="00D7492D"/>
    <w:rsid w:val="00D82564"/>
    <w:rsid w:val="00D8269E"/>
    <w:rsid w:val="00D82ABA"/>
    <w:rsid w:val="00D83617"/>
    <w:rsid w:val="00D90D14"/>
    <w:rsid w:val="00D910E8"/>
    <w:rsid w:val="00D91A9F"/>
    <w:rsid w:val="00D91AFB"/>
    <w:rsid w:val="00D93B23"/>
    <w:rsid w:val="00D94272"/>
    <w:rsid w:val="00DA1B89"/>
    <w:rsid w:val="00DA4065"/>
    <w:rsid w:val="00DA4614"/>
    <w:rsid w:val="00DB261B"/>
    <w:rsid w:val="00DB2EF9"/>
    <w:rsid w:val="00DB3F55"/>
    <w:rsid w:val="00DB5317"/>
    <w:rsid w:val="00DC1F88"/>
    <w:rsid w:val="00DC44E6"/>
    <w:rsid w:val="00DC4F1D"/>
    <w:rsid w:val="00DD0912"/>
    <w:rsid w:val="00DD0FE3"/>
    <w:rsid w:val="00DD1215"/>
    <w:rsid w:val="00DD2868"/>
    <w:rsid w:val="00DD518E"/>
    <w:rsid w:val="00DE1113"/>
    <w:rsid w:val="00DE2E19"/>
    <w:rsid w:val="00DE3AF6"/>
    <w:rsid w:val="00DE517D"/>
    <w:rsid w:val="00DF1341"/>
    <w:rsid w:val="00DF55C6"/>
    <w:rsid w:val="00DF652E"/>
    <w:rsid w:val="00DF695C"/>
    <w:rsid w:val="00E013FD"/>
    <w:rsid w:val="00E0288C"/>
    <w:rsid w:val="00E05775"/>
    <w:rsid w:val="00E11BCE"/>
    <w:rsid w:val="00E121DD"/>
    <w:rsid w:val="00E125F5"/>
    <w:rsid w:val="00E12844"/>
    <w:rsid w:val="00E17640"/>
    <w:rsid w:val="00E21795"/>
    <w:rsid w:val="00E221AF"/>
    <w:rsid w:val="00E231D1"/>
    <w:rsid w:val="00E23AA2"/>
    <w:rsid w:val="00E23C50"/>
    <w:rsid w:val="00E2501E"/>
    <w:rsid w:val="00E25731"/>
    <w:rsid w:val="00E3224E"/>
    <w:rsid w:val="00E323C5"/>
    <w:rsid w:val="00E34E63"/>
    <w:rsid w:val="00E41065"/>
    <w:rsid w:val="00E46B2D"/>
    <w:rsid w:val="00E514C1"/>
    <w:rsid w:val="00E57DE8"/>
    <w:rsid w:val="00E74933"/>
    <w:rsid w:val="00E75F6B"/>
    <w:rsid w:val="00E852B4"/>
    <w:rsid w:val="00E85952"/>
    <w:rsid w:val="00E90499"/>
    <w:rsid w:val="00E92A74"/>
    <w:rsid w:val="00E9675A"/>
    <w:rsid w:val="00EA41AE"/>
    <w:rsid w:val="00EB07C9"/>
    <w:rsid w:val="00EB3632"/>
    <w:rsid w:val="00EB55FB"/>
    <w:rsid w:val="00EC3E29"/>
    <w:rsid w:val="00EC578A"/>
    <w:rsid w:val="00EC5C76"/>
    <w:rsid w:val="00EC7E1E"/>
    <w:rsid w:val="00ED1599"/>
    <w:rsid w:val="00ED1A32"/>
    <w:rsid w:val="00ED592A"/>
    <w:rsid w:val="00ED62A5"/>
    <w:rsid w:val="00EE30E3"/>
    <w:rsid w:val="00EE3A18"/>
    <w:rsid w:val="00EE6BA3"/>
    <w:rsid w:val="00EF0C0A"/>
    <w:rsid w:val="00EF0D2D"/>
    <w:rsid w:val="00EF4271"/>
    <w:rsid w:val="00EF436B"/>
    <w:rsid w:val="00F004CB"/>
    <w:rsid w:val="00F020EC"/>
    <w:rsid w:val="00F02541"/>
    <w:rsid w:val="00F05F1B"/>
    <w:rsid w:val="00F06AC5"/>
    <w:rsid w:val="00F107E5"/>
    <w:rsid w:val="00F1242E"/>
    <w:rsid w:val="00F12863"/>
    <w:rsid w:val="00F14E61"/>
    <w:rsid w:val="00F218C3"/>
    <w:rsid w:val="00F278E0"/>
    <w:rsid w:val="00F33B70"/>
    <w:rsid w:val="00F352D8"/>
    <w:rsid w:val="00F36C9F"/>
    <w:rsid w:val="00F417F9"/>
    <w:rsid w:val="00F43370"/>
    <w:rsid w:val="00F45234"/>
    <w:rsid w:val="00F469E2"/>
    <w:rsid w:val="00F479B9"/>
    <w:rsid w:val="00F5089B"/>
    <w:rsid w:val="00F530AE"/>
    <w:rsid w:val="00F569E7"/>
    <w:rsid w:val="00F61355"/>
    <w:rsid w:val="00F61732"/>
    <w:rsid w:val="00F67340"/>
    <w:rsid w:val="00F71D74"/>
    <w:rsid w:val="00F73EC3"/>
    <w:rsid w:val="00F74B45"/>
    <w:rsid w:val="00F75036"/>
    <w:rsid w:val="00F75577"/>
    <w:rsid w:val="00F76510"/>
    <w:rsid w:val="00F7759C"/>
    <w:rsid w:val="00F77AAE"/>
    <w:rsid w:val="00F80D82"/>
    <w:rsid w:val="00F813EC"/>
    <w:rsid w:val="00F8456E"/>
    <w:rsid w:val="00F85F2D"/>
    <w:rsid w:val="00F87150"/>
    <w:rsid w:val="00F916EB"/>
    <w:rsid w:val="00FA327D"/>
    <w:rsid w:val="00FA559B"/>
    <w:rsid w:val="00FA5B8E"/>
    <w:rsid w:val="00FB02A3"/>
    <w:rsid w:val="00FB4115"/>
    <w:rsid w:val="00FB49FA"/>
    <w:rsid w:val="00FB5931"/>
    <w:rsid w:val="00FC2F95"/>
    <w:rsid w:val="00FC46E4"/>
    <w:rsid w:val="00FC4B2A"/>
    <w:rsid w:val="00FC5AD2"/>
    <w:rsid w:val="00FD06FC"/>
    <w:rsid w:val="00FD1717"/>
    <w:rsid w:val="00FD29A2"/>
    <w:rsid w:val="00FD4611"/>
    <w:rsid w:val="00FF1B38"/>
    <w:rsid w:val="00FF79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1335"/>
  <w15:chartTrackingRefBased/>
  <w15:docId w15:val="{0DBB2468-54B6-490A-BA86-390CA434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A47"/>
    <w:pPr>
      <w:spacing w:after="0" w:line="276" w:lineRule="auto"/>
    </w:pPr>
    <w:rPr>
      <w:rFonts w:ascii="Arial" w:eastAsia="Arial" w:hAnsi="Arial" w:cs="Arial"/>
      <w:kern w:val="0"/>
      <w:lang w:val="en-GB" w:eastAsia="en-ID"/>
      <w14:ligatures w14:val="none"/>
    </w:rPr>
  </w:style>
  <w:style w:type="paragraph" w:styleId="Heading1">
    <w:name w:val="heading 1"/>
    <w:basedOn w:val="Normal"/>
    <w:next w:val="Normal"/>
    <w:link w:val="Heading1Char"/>
    <w:uiPriority w:val="9"/>
    <w:qFormat/>
    <w:rsid w:val="00B549B3"/>
    <w:pPr>
      <w:keepNext/>
      <w:keepLines/>
      <w:spacing w:before="400" w:after="120"/>
      <w:outlineLvl w:val="0"/>
    </w:pPr>
    <w:rPr>
      <w:b/>
      <w:sz w:val="24"/>
      <w:szCs w:val="40"/>
    </w:rPr>
  </w:style>
  <w:style w:type="paragraph" w:styleId="Heading2">
    <w:name w:val="heading 2"/>
    <w:basedOn w:val="Normal"/>
    <w:next w:val="Normal"/>
    <w:link w:val="Heading2Char"/>
    <w:uiPriority w:val="9"/>
    <w:unhideWhenUsed/>
    <w:qFormat/>
    <w:rsid w:val="00730FF6"/>
    <w:pPr>
      <w:keepNext/>
      <w:keepLines/>
      <w:spacing w:before="360" w:after="120"/>
      <w:outlineLvl w:val="1"/>
    </w:pPr>
    <w:rPr>
      <w:b/>
      <w:sz w:val="24"/>
      <w:szCs w:val="32"/>
    </w:rPr>
  </w:style>
  <w:style w:type="paragraph" w:styleId="Heading3">
    <w:name w:val="heading 3"/>
    <w:basedOn w:val="Normal"/>
    <w:next w:val="Normal"/>
    <w:link w:val="Heading3Char"/>
    <w:uiPriority w:val="9"/>
    <w:semiHidden/>
    <w:unhideWhenUsed/>
    <w:qFormat/>
    <w:rsid w:val="00CE5A47"/>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CE5A47"/>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CE5A4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CE5A4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9B3"/>
    <w:rPr>
      <w:rFonts w:ascii="Arial" w:eastAsia="Arial" w:hAnsi="Arial" w:cs="Arial"/>
      <w:b/>
      <w:kern w:val="0"/>
      <w:sz w:val="24"/>
      <w:szCs w:val="40"/>
      <w:lang w:val="en-GB" w:eastAsia="en-ID"/>
      <w14:ligatures w14:val="none"/>
    </w:rPr>
  </w:style>
  <w:style w:type="character" w:customStyle="1" w:styleId="Heading2Char">
    <w:name w:val="Heading 2 Char"/>
    <w:basedOn w:val="DefaultParagraphFont"/>
    <w:link w:val="Heading2"/>
    <w:uiPriority w:val="9"/>
    <w:rsid w:val="00730FF6"/>
    <w:rPr>
      <w:rFonts w:ascii="Arial" w:eastAsia="Arial" w:hAnsi="Arial" w:cs="Arial"/>
      <w:b/>
      <w:kern w:val="0"/>
      <w:sz w:val="24"/>
      <w:szCs w:val="32"/>
      <w:lang w:val="en-GB" w:eastAsia="en-ID"/>
      <w14:ligatures w14:val="none"/>
    </w:rPr>
  </w:style>
  <w:style w:type="character" w:customStyle="1" w:styleId="Heading3Char">
    <w:name w:val="Heading 3 Char"/>
    <w:basedOn w:val="DefaultParagraphFont"/>
    <w:link w:val="Heading3"/>
    <w:uiPriority w:val="9"/>
    <w:semiHidden/>
    <w:rsid w:val="00CE5A47"/>
    <w:rPr>
      <w:rFonts w:ascii="Arial" w:eastAsia="Arial" w:hAnsi="Arial" w:cs="Arial"/>
      <w:color w:val="434343"/>
      <w:kern w:val="0"/>
      <w:sz w:val="28"/>
      <w:szCs w:val="28"/>
      <w:lang w:val="en-GB" w:eastAsia="en-ID"/>
      <w14:ligatures w14:val="none"/>
    </w:rPr>
  </w:style>
  <w:style w:type="character" w:customStyle="1" w:styleId="Heading4Char">
    <w:name w:val="Heading 4 Char"/>
    <w:basedOn w:val="DefaultParagraphFont"/>
    <w:link w:val="Heading4"/>
    <w:uiPriority w:val="9"/>
    <w:semiHidden/>
    <w:rsid w:val="00CE5A47"/>
    <w:rPr>
      <w:rFonts w:ascii="Arial" w:eastAsia="Arial" w:hAnsi="Arial" w:cs="Arial"/>
      <w:color w:val="666666"/>
      <w:kern w:val="0"/>
      <w:sz w:val="24"/>
      <w:szCs w:val="24"/>
      <w:lang w:val="en-GB" w:eastAsia="en-ID"/>
      <w14:ligatures w14:val="none"/>
    </w:rPr>
  </w:style>
  <w:style w:type="character" w:customStyle="1" w:styleId="Heading5Char">
    <w:name w:val="Heading 5 Char"/>
    <w:basedOn w:val="DefaultParagraphFont"/>
    <w:link w:val="Heading5"/>
    <w:uiPriority w:val="9"/>
    <w:semiHidden/>
    <w:rsid w:val="00CE5A47"/>
    <w:rPr>
      <w:rFonts w:ascii="Arial" w:eastAsia="Arial" w:hAnsi="Arial" w:cs="Arial"/>
      <w:color w:val="666666"/>
      <w:kern w:val="0"/>
      <w:lang w:val="en-GB" w:eastAsia="en-ID"/>
      <w14:ligatures w14:val="none"/>
    </w:rPr>
  </w:style>
  <w:style w:type="character" w:customStyle="1" w:styleId="Heading6Char">
    <w:name w:val="Heading 6 Char"/>
    <w:basedOn w:val="DefaultParagraphFont"/>
    <w:link w:val="Heading6"/>
    <w:uiPriority w:val="9"/>
    <w:semiHidden/>
    <w:rsid w:val="00CE5A47"/>
    <w:rPr>
      <w:rFonts w:ascii="Arial" w:eastAsia="Arial" w:hAnsi="Arial" w:cs="Arial"/>
      <w:i/>
      <w:color w:val="666666"/>
      <w:kern w:val="0"/>
      <w:lang w:val="en-GB" w:eastAsia="en-ID"/>
      <w14:ligatures w14:val="none"/>
    </w:rPr>
  </w:style>
  <w:style w:type="paragraph" w:styleId="Title">
    <w:name w:val="Title"/>
    <w:basedOn w:val="Normal"/>
    <w:next w:val="Normal"/>
    <w:link w:val="TitleChar"/>
    <w:uiPriority w:val="10"/>
    <w:qFormat/>
    <w:rsid w:val="00CE5A47"/>
    <w:pPr>
      <w:keepNext/>
      <w:keepLines/>
      <w:spacing w:after="60"/>
    </w:pPr>
    <w:rPr>
      <w:sz w:val="52"/>
      <w:szCs w:val="52"/>
    </w:rPr>
  </w:style>
  <w:style w:type="character" w:customStyle="1" w:styleId="TitleChar">
    <w:name w:val="Title Char"/>
    <w:basedOn w:val="DefaultParagraphFont"/>
    <w:link w:val="Title"/>
    <w:uiPriority w:val="10"/>
    <w:rsid w:val="00CE5A47"/>
    <w:rPr>
      <w:rFonts w:ascii="Arial" w:eastAsia="Arial" w:hAnsi="Arial" w:cs="Arial"/>
      <w:kern w:val="0"/>
      <w:sz w:val="52"/>
      <w:szCs w:val="52"/>
      <w:lang w:val="en-GB" w:eastAsia="en-ID"/>
      <w14:ligatures w14:val="none"/>
    </w:rPr>
  </w:style>
  <w:style w:type="paragraph" w:styleId="Subtitle">
    <w:name w:val="Subtitle"/>
    <w:basedOn w:val="Normal"/>
    <w:next w:val="Normal"/>
    <w:link w:val="SubtitleChar"/>
    <w:uiPriority w:val="11"/>
    <w:qFormat/>
    <w:rsid w:val="00CE5A47"/>
    <w:pPr>
      <w:keepNext/>
      <w:keepLines/>
      <w:spacing w:after="320"/>
    </w:pPr>
    <w:rPr>
      <w:color w:val="666666"/>
      <w:sz w:val="30"/>
      <w:szCs w:val="30"/>
    </w:rPr>
  </w:style>
  <w:style w:type="character" w:customStyle="1" w:styleId="SubtitleChar">
    <w:name w:val="Subtitle Char"/>
    <w:basedOn w:val="DefaultParagraphFont"/>
    <w:link w:val="Subtitle"/>
    <w:uiPriority w:val="11"/>
    <w:rsid w:val="00CE5A47"/>
    <w:rPr>
      <w:rFonts w:ascii="Arial" w:eastAsia="Arial" w:hAnsi="Arial" w:cs="Arial"/>
      <w:color w:val="666666"/>
      <w:kern w:val="0"/>
      <w:sz w:val="30"/>
      <w:szCs w:val="30"/>
      <w:lang w:val="en-GB" w:eastAsia="en-ID"/>
      <w14:ligatures w14:val="none"/>
    </w:rPr>
  </w:style>
  <w:style w:type="paragraph" w:styleId="CommentText">
    <w:name w:val="annotation text"/>
    <w:basedOn w:val="Normal"/>
    <w:link w:val="CommentTextChar"/>
    <w:uiPriority w:val="99"/>
    <w:unhideWhenUsed/>
    <w:rsid w:val="00CE5A47"/>
    <w:pPr>
      <w:spacing w:line="240" w:lineRule="auto"/>
    </w:pPr>
    <w:rPr>
      <w:sz w:val="20"/>
      <w:szCs w:val="20"/>
    </w:rPr>
  </w:style>
  <w:style w:type="character" w:customStyle="1" w:styleId="CommentTextChar">
    <w:name w:val="Comment Text Char"/>
    <w:basedOn w:val="DefaultParagraphFont"/>
    <w:link w:val="CommentText"/>
    <w:uiPriority w:val="99"/>
    <w:rsid w:val="00CE5A47"/>
    <w:rPr>
      <w:rFonts w:ascii="Arial" w:eastAsia="Arial" w:hAnsi="Arial" w:cs="Arial"/>
      <w:kern w:val="0"/>
      <w:sz w:val="20"/>
      <w:szCs w:val="20"/>
      <w:lang w:val="en-GB" w:eastAsia="en-ID"/>
      <w14:ligatures w14:val="none"/>
    </w:rPr>
  </w:style>
  <w:style w:type="character" w:styleId="CommentReference">
    <w:name w:val="annotation reference"/>
    <w:basedOn w:val="DefaultParagraphFont"/>
    <w:uiPriority w:val="99"/>
    <w:semiHidden/>
    <w:unhideWhenUsed/>
    <w:rsid w:val="00CE5A47"/>
    <w:rPr>
      <w:sz w:val="16"/>
      <w:szCs w:val="16"/>
    </w:rPr>
  </w:style>
  <w:style w:type="paragraph" w:styleId="Revision">
    <w:name w:val="Revision"/>
    <w:hidden/>
    <w:uiPriority w:val="99"/>
    <w:semiHidden/>
    <w:rsid w:val="00CE5A47"/>
    <w:pPr>
      <w:spacing w:after="0" w:line="240" w:lineRule="auto"/>
    </w:pPr>
    <w:rPr>
      <w:rFonts w:ascii="Arial" w:eastAsia="Arial" w:hAnsi="Arial" w:cs="Arial"/>
      <w:kern w:val="0"/>
      <w:lang w:val="en-GB" w:eastAsia="en-ID"/>
      <w14:ligatures w14:val="none"/>
    </w:rPr>
  </w:style>
  <w:style w:type="character" w:styleId="PlaceholderText">
    <w:name w:val="Placeholder Text"/>
    <w:basedOn w:val="DefaultParagraphFont"/>
    <w:uiPriority w:val="99"/>
    <w:semiHidden/>
    <w:rsid w:val="00CE5A47"/>
    <w:rPr>
      <w:color w:val="808080"/>
    </w:rPr>
  </w:style>
  <w:style w:type="paragraph" w:styleId="CommentSubject">
    <w:name w:val="annotation subject"/>
    <w:basedOn w:val="CommentText"/>
    <w:next w:val="CommentText"/>
    <w:link w:val="CommentSubjectChar"/>
    <w:uiPriority w:val="99"/>
    <w:semiHidden/>
    <w:unhideWhenUsed/>
    <w:rsid w:val="00CE5A47"/>
    <w:rPr>
      <w:b/>
      <w:bCs/>
    </w:rPr>
  </w:style>
  <w:style w:type="character" w:customStyle="1" w:styleId="CommentSubjectChar">
    <w:name w:val="Comment Subject Char"/>
    <w:basedOn w:val="CommentTextChar"/>
    <w:link w:val="CommentSubject"/>
    <w:uiPriority w:val="99"/>
    <w:semiHidden/>
    <w:rsid w:val="00CE5A47"/>
    <w:rPr>
      <w:rFonts w:ascii="Arial" w:eastAsia="Arial" w:hAnsi="Arial" w:cs="Arial"/>
      <w:b/>
      <w:bCs/>
      <w:kern w:val="0"/>
      <w:sz w:val="20"/>
      <w:szCs w:val="20"/>
      <w:lang w:val="en-GB" w:eastAsia="en-ID"/>
      <w14:ligatures w14:val="none"/>
    </w:rPr>
  </w:style>
  <w:style w:type="paragraph" w:styleId="Bibliography">
    <w:name w:val="Bibliography"/>
    <w:basedOn w:val="Normal"/>
    <w:next w:val="Normal"/>
    <w:uiPriority w:val="37"/>
    <w:unhideWhenUsed/>
    <w:rsid w:val="00CE5A47"/>
    <w:pPr>
      <w:tabs>
        <w:tab w:val="left" w:pos="384"/>
      </w:tabs>
      <w:spacing w:after="240" w:line="240" w:lineRule="auto"/>
      <w:ind w:left="384" w:hanging="384"/>
    </w:pPr>
  </w:style>
  <w:style w:type="character" w:styleId="LineNumber">
    <w:name w:val="line number"/>
    <w:basedOn w:val="DefaultParagraphFont"/>
    <w:uiPriority w:val="99"/>
    <w:semiHidden/>
    <w:unhideWhenUsed/>
    <w:rsid w:val="0073762C"/>
  </w:style>
  <w:style w:type="paragraph" w:styleId="Header">
    <w:name w:val="header"/>
    <w:basedOn w:val="Normal"/>
    <w:link w:val="HeaderChar"/>
    <w:uiPriority w:val="99"/>
    <w:unhideWhenUsed/>
    <w:rsid w:val="000F3991"/>
    <w:pPr>
      <w:tabs>
        <w:tab w:val="center" w:pos="4513"/>
        <w:tab w:val="right" w:pos="9026"/>
      </w:tabs>
      <w:spacing w:line="240" w:lineRule="auto"/>
    </w:pPr>
  </w:style>
  <w:style w:type="character" w:customStyle="1" w:styleId="HeaderChar">
    <w:name w:val="Header Char"/>
    <w:basedOn w:val="DefaultParagraphFont"/>
    <w:link w:val="Header"/>
    <w:uiPriority w:val="99"/>
    <w:rsid w:val="000F3991"/>
    <w:rPr>
      <w:rFonts w:ascii="Arial" w:eastAsia="Arial" w:hAnsi="Arial" w:cs="Arial"/>
      <w:kern w:val="0"/>
      <w:lang w:val="en-GB" w:eastAsia="en-ID"/>
      <w14:ligatures w14:val="none"/>
    </w:rPr>
  </w:style>
  <w:style w:type="paragraph" w:styleId="Footer">
    <w:name w:val="footer"/>
    <w:basedOn w:val="Normal"/>
    <w:link w:val="FooterChar"/>
    <w:uiPriority w:val="99"/>
    <w:unhideWhenUsed/>
    <w:rsid w:val="000F3991"/>
    <w:pPr>
      <w:tabs>
        <w:tab w:val="center" w:pos="4513"/>
        <w:tab w:val="right" w:pos="9026"/>
      </w:tabs>
      <w:spacing w:line="240" w:lineRule="auto"/>
    </w:pPr>
  </w:style>
  <w:style w:type="character" w:customStyle="1" w:styleId="FooterChar">
    <w:name w:val="Footer Char"/>
    <w:basedOn w:val="DefaultParagraphFont"/>
    <w:link w:val="Footer"/>
    <w:uiPriority w:val="99"/>
    <w:rsid w:val="000F3991"/>
    <w:rPr>
      <w:rFonts w:ascii="Arial" w:eastAsia="Arial" w:hAnsi="Arial" w:cs="Arial"/>
      <w:kern w:val="0"/>
      <w:lang w:val="en-GB" w:eastAsia="en-ID"/>
      <w14:ligatures w14:val="none"/>
    </w:rPr>
  </w:style>
  <w:style w:type="paragraph" w:styleId="NormalWeb">
    <w:name w:val="Normal (Web)"/>
    <w:basedOn w:val="Normal"/>
    <w:uiPriority w:val="99"/>
    <w:semiHidden/>
    <w:unhideWhenUsed/>
    <w:rsid w:val="0015797C"/>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Emphasis">
    <w:name w:val="Emphasis"/>
    <w:basedOn w:val="DefaultParagraphFont"/>
    <w:uiPriority w:val="20"/>
    <w:qFormat/>
    <w:rsid w:val="0015797C"/>
    <w:rPr>
      <w:i/>
      <w:iCs/>
    </w:rPr>
  </w:style>
  <w:style w:type="character" w:styleId="Hyperlink">
    <w:name w:val="Hyperlink"/>
    <w:basedOn w:val="DefaultParagraphFont"/>
    <w:uiPriority w:val="99"/>
    <w:unhideWhenUsed/>
    <w:rsid w:val="00B159C2"/>
    <w:rPr>
      <w:color w:val="0563C1" w:themeColor="hyperlink"/>
      <w:u w:val="single"/>
    </w:rPr>
  </w:style>
  <w:style w:type="paragraph" w:styleId="ListParagraph">
    <w:name w:val="List Paragraph"/>
    <w:basedOn w:val="Normal"/>
    <w:uiPriority w:val="34"/>
    <w:qFormat/>
    <w:rsid w:val="00902949"/>
    <w:pPr>
      <w:ind w:left="720"/>
      <w:contextualSpacing/>
    </w:pPr>
  </w:style>
  <w:style w:type="character" w:styleId="UnresolvedMention">
    <w:name w:val="Unresolved Mention"/>
    <w:basedOn w:val="DefaultParagraphFont"/>
    <w:uiPriority w:val="99"/>
    <w:semiHidden/>
    <w:unhideWhenUsed/>
    <w:rsid w:val="00711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72177">
      <w:bodyDiv w:val="1"/>
      <w:marLeft w:val="0"/>
      <w:marRight w:val="0"/>
      <w:marTop w:val="0"/>
      <w:marBottom w:val="0"/>
      <w:divBdr>
        <w:top w:val="none" w:sz="0" w:space="0" w:color="auto"/>
        <w:left w:val="none" w:sz="0" w:space="0" w:color="auto"/>
        <w:bottom w:val="none" w:sz="0" w:space="0" w:color="auto"/>
        <w:right w:val="none" w:sz="0" w:space="0" w:color="auto"/>
      </w:divBdr>
    </w:div>
    <w:div w:id="69797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dissertation-mgh/MGH-Dissertation"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dissertation-mgh/MGH-Dissertation"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923E1-C265-4B86-8899-88C5D68B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42</Pages>
  <Words>41076</Words>
  <Characters>234138</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Nando Pratama</dc:creator>
  <cp:keywords/>
  <dc:description/>
  <cp:lastModifiedBy>Nando Pratama</cp:lastModifiedBy>
  <cp:revision>1764</cp:revision>
  <dcterms:created xsi:type="dcterms:W3CDTF">2023-08-21T11:59:00Z</dcterms:created>
  <dcterms:modified xsi:type="dcterms:W3CDTF">2023-08-23T10:40:00Z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bcdb49536b4f477f53cc5e524171ab968adac09f911838d6cf03e2ab6571d5e7</vt:lpwstr>
  </property>
  <property fmtid="{D5CDD505-2E9C-101B-9397-08002B2CF9AE}" pid="3" name="ZOTERO_PREF_1">
    <vt:lpwstr>&lt;data data-version="3" zotero-version="6.0.26"&gt;&lt;session id="I7EpwKBm"/&gt;&lt;style id="http://www.zotero.org/styles/vancouver" locale="en-US" hasBibliography="1" bibliographyStyleHasBeenSet="1"/&gt;&lt;prefs&gt;&lt;pref name="fieldType" value="Field"/&gt;&lt;pref name="delayCit</vt:lpwstr>
  </property>
  <property fmtid="{D5CDD505-2E9C-101B-9397-08002B2CF9AE}" pid="4" name="ZOTERO_PREF_2">
    <vt:lpwstr>ationUpdates" value="true"/&gt;&lt;pref name="dontAskDelayCitationUpdates" value="true"/&gt;&lt;/prefs&gt;&lt;/data&gt;</vt:lpwstr>
  </property>
</Properties>
</file>