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B8552"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hAnsi="Times New Roman" w:cs="Times New Roman"/>
          <w:noProof/>
          <w:sz w:val="24"/>
          <w:szCs w:val="24"/>
        </w:rPr>
        <w:drawing>
          <wp:inline distT="0" distB="0" distL="0" distR="0" wp14:anchorId="65F8CF42" wp14:editId="15340BCB">
            <wp:extent cx="5962793" cy="2711395"/>
            <wp:effectExtent l="0" t="0" r="0" b="0"/>
            <wp:docPr id="1534699425" name="Picture 9" descr="A black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9425" name="Picture 9" descr="A black background with arrows&#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79548" cy="2719014"/>
                    </a:xfrm>
                    <a:prstGeom prst="rect">
                      <a:avLst/>
                    </a:prstGeom>
                    <a:noFill/>
                  </pic:spPr>
                </pic:pic>
              </a:graphicData>
            </a:graphic>
          </wp:inline>
        </w:drawing>
      </w:r>
    </w:p>
    <w:p w14:paraId="4646583B" w14:textId="77777777" w:rsidR="0003539E" w:rsidRPr="000A03F1" w:rsidRDefault="0003539E" w:rsidP="0003539E">
      <w:pPr>
        <w:tabs>
          <w:tab w:val="left" w:pos="384"/>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 xml:space="preserve">Figure S1. </w:t>
      </w:r>
      <w:r w:rsidRPr="000A03F1">
        <w:rPr>
          <w:rFonts w:ascii="Times New Roman" w:eastAsia="Calibri" w:hAnsi="Times New Roman" w:cs="Times New Roman"/>
          <w:sz w:val="24"/>
          <w:szCs w:val="24"/>
        </w:rPr>
        <w:t xml:space="preserve">The overall workflow of the analysis. The analysis started with data training which consists of the characterising of case notification data </w:t>
      </w:r>
      <w:proofErr w:type="gramStart"/>
      <w:r w:rsidRPr="000A03F1">
        <w:rPr>
          <w:rFonts w:ascii="Times New Roman" w:eastAsia="Calibri" w:hAnsi="Times New Roman" w:cs="Times New Roman"/>
          <w:sz w:val="24"/>
          <w:szCs w:val="24"/>
        </w:rPr>
        <w:t>in order to</w:t>
      </w:r>
      <w:proofErr w:type="gramEnd"/>
      <w:r w:rsidRPr="000A03F1">
        <w:rPr>
          <w:rFonts w:ascii="Times New Roman" w:eastAsia="Calibri" w:hAnsi="Times New Roman" w:cs="Times New Roman"/>
          <w:sz w:val="24"/>
          <w:szCs w:val="24"/>
        </w:rPr>
        <w:t xml:space="preserve"> divide the population into two age groups before the seasonality of monthly DHF cases was averaged by month (first box). The transmission model was then run for 45 years, while the first 40 years was discarded, and the remaining 5 years was fitted with the data by minimising negative log-likelihood following Poisson distribution. Then, seroprevalence rate, vaccine coverage, and screening coverage were all calculated for modelling vaccination (second box). In the vaccination model, the model was run </w:t>
      </w:r>
      <w:proofErr w:type="gramStart"/>
      <w:r w:rsidRPr="000A03F1">
        <w:rPr>
          <w:rFonts w:ascii="Times New Roman" w:eastAsia="Calibri" w:hAnsi="Times New Roman" w:cs="Times New Roman"/>
          <w:sz w:val="24"/>
          <w:szCs w:val="24"/>
        </w:rPr>
        <w:t>in order to</w:t>
      </w:r>
      <w:proofErr w:type="gramEnd"/>
      <w:r w:rsidRPr="000A03F1">
        <w:rPr>
          <w:rFonts w:ascii="Times New Roman" w:eastAsia="Calibri" w:hAnsi="Times New Roman" w:cs="Times New Roman"/>
          <w:sz w:val="24"/>
          <w:szCs w:val="24"/>
        </w:rPr>
        <w:t xml:space="preserve"> evaluate the total hospitalised DHF cases averted after 3 years (third box). The sensitivity analysis was performed by adjusting the vaccination timing according to each period where the each DENV serotype was the highest in terms of its proportion. Then, the vaccination scenario was run according to each timing and the number of hospitalised DHF cases was recalculated (fourth box).</w:t>
      </w:r>
    </w:p>
    <w:p w14:paraId="13B3A72D"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hAnsi="Times New Roman" w:cs="Times New Roman"/>
          <w:noProof/>
          <w:sz w:val="24"/>
          <w:szCs w:val="24"/>
        </w:rPr>
        <w:lastRenderedPageBreak/>
        <w:drawing>
          <wp:inline distT="114300" distB="114300" distL="114300" distR="114300" wp14:anchorId="08B5250B" wp14:editId="285AD69D">
            <wp:extent cx="5943600" cy="3162300"/>
            <wp:effectExtent l="0" t="0" r="0" b="0"/>
            <wp:docPr id="1111242481" name="Picture 1111242481" descr="A graph of multiple different types of graph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11242481" name="Picture 1111242481" descr="A graph of multiple different types of graphs&#10;&#10;Description automatically generated with medium confidence"/>
                    <pic:cNvPicPr preferRelativeResize="0"/>
                  </pic:nvPicPr>
                  <pic:blipFill>
                    <a:blip r:embed="rId5"/>
                    <a:srcRect/>
                    <a:stretch>
                      <a:fillRect/>
                    </a:stretch>
                  </pic:blipFill>
                  <pic:spPr>
                    <a:xfrm>
                      <a:off x="0" y="0"/>
                      <a:ext cx="5943600" cy="3162300"/>
                    </a:xfrm>
                    <a:prstGeom prst="rect">
                      <a:avLst/>
                    </a:prstGeom>
                    <a:ln/>
                  </pic:spPr>
                </pic:pic>
              </a:graphicData>
            </a:graphic>
          </wp:inline>
        </w:drawing>
      </w:r>
    </w:p>
    <w:p w14:paraId="6E2137B8" w14:textId="77777777" w:rsidR="0003539E" w:rsidRPr="000A03F1" w:rsidRDefault="0003539E" w:rsidP="0003539E">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sz w:val="20"/>
          <w:szCs w:val="20"/>
        </w:rPr>
        <w:t>Figure S2.</w:t>
      </w:r>
      <w:r w:rsidRPr="000A03F1">
        <w:rPr>
          <w:rFonts w:ascii="Times New Roman" w:hAnsi="Times New Roman" w:cs="Times New Roman"/>
          <w:sz w:val="20"/>
          <w:szCs w:val="20"/>
        </w:rPr>
        <w:t xml:space="preserve"> The trajectories of the trend and the seasonality of monthly reported DHF cases of those aged 0 - 14 years.</w:t>
      </w:r>
    </w:p>
    <w:p w14:paraId="0B638DE6"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hAnsi="Times New Roman" w:cs="Times New Roman"/>
          <w:noProof/>
          <w:sz w:val="24"/>
          <w:szCs w:val="24"/>
        </w:rPr>
        <w:drawing>
          <wp:inline distT="114300" distB="114300" distL="114300" distR="114300" wp14:anchorId="3FE800AE" wp14:editId="426EDD2A">
            <wp:extent cx="5943600" cy="3162300"/>
            <wp:effectExtent l="0" t="0" r="0" b="0"/>
            <wp:docPr id="1698827210" name="Picture 1698827210" descr="A graph of different types of graph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98827210" name="Picture 1698827210" descr="A graph of different types of graphs&#10;&#10;Description automatically generated with medium confidence"/>
                    <pic:cNvPicPr preferRelativeResize="0"/>
                  </pic:nvPicPr>
                  <pic:blipFill>
                    <a:blip r:embed="rId6"/>
                    <a:srcRect/>
                    <a:stretch>
                      <a:fillRect/>
                    </a:stretch>
                  </pic:blipFill>
                  <pic:spPr>
                    <a:xfrm>
                      <a:off x="0" y="0"/>
                      <a:ext cx="5943600" cy="3162300"/>
                    </a:xfrm>
                    <a:prstGeom prst="rect">
                      <a:avLst/>
                    </a:prstGeom>
                    <a:ln/>
                  </pic:spPr>
                </pic:pic>
              </a:graphicData>
            </a:graphic>
          </wp:inline>
        </w:drawing>
      </w:r>
    </w:p>
    <w:p w14:paraId="0547745E" w14:textId="77777777" w:rsidR="0003539E" w:rsidRPr="000A03F1" w:rsidRDefault="0003539E" w:rsidP="0003539E">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sz w:val="20"/>
          <w:szCs w:val="20"/>
        </w:rPr>
        <w:t>Figure S3.</w:t>
      </w:r>
      <w:r w:rsidRPr="000A03F1">
        <w:rPr>
          <w:rFonts w:ascii="Times New Roman" w:hAnsi="Times New Roman" w:cs="Times New Roman"/>
          <w:sz w:val="20"/>
          <w:szCs w:val="20"/>
        </w:rPr>
        <w:t xml:space="preserve"> The trajectories of the trend and the seasonality of monthly reported DHF cases of those aged 15 to 75+ years.</w:t>
      </w:r>
    </w:p>
    <w:p w14:paraId="2147FC63"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p>
    <w:p w14:paraId="61AA2B51"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322778D0" wp14:editId="2F529443">
            <wp:extent cx="6120000" cy="3802491"/>
            <wp:effectExtent l="0" t="0" r="0" b="7620"/>
            <wp:docPr id="1868079456" name="Picture 2"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9456" name="Picture 2" descr="A collage of graph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000" cy="3802491"/>
                    </a:xfrm>
                    <a:prstGeom prst="rect">
                      <a:avLst/>
                    </a:prstGeom>
                    <a:noFill/>
                  </pic:spPr>
                </pic:pic>
              </a:graphicData>
            </a:graphic>
          </wp:inline>
        </w:drawing>
      </w:r>
    </w:p>
    <w:p w14:paraId="584CBBF5" w14:textId="77777777" w:rsidR="0003539E" w:rsidRPr="000A03F1" w:rsidRDefault="0003539E" w:rsidP="0003539E">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S4.</w:t>
      </w:r>
      <w:r w:rsidRPr="000A03F1">
        <w:rPr>
          <w:rFonts w:ascii="Times New Roman" w:eastAsia="Calibri" w:hAnsi="Times New Roman" w:cs="Times New Roman"/>
          <w:sz w:val="24"/>
          <w:szCs w:val="24"/>
        </w:rPr>
        <w:t xml:space="preserve"> The resulting DENV-1 to DENV-4 serotype dominance following vaccination in scenario 1.</w:t>
      </w:r>
    </w:p>
    <w:p w14:paraId="12D397AC"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p>
    <w:p w14:paraId="5A6E6A04"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0E0E99DF" wp14:editId="6131B715">
            <wp:extent cx="6120000" cy="3802490"/>
            <wp:effectExtent l="0" t="0" r="0" b="7620"/>
            <wp:docPr id="1871067448" name="Picture 3"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67448" name="Picture 3" descr="A collage of graph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000" cy="3802490"/>
                    </a:xfrm>
                    <a:prstGeom prst="rect">
                      <a:avLst/>
                    </a:prstGeom>
                    <a:noFill/>
                  </pic:spPr>
                </pic:pic>
              </a:graphicData>
            </a:graphic>
          </wp:inline>
        </w:drawing>
      </w:r>
    </w:p>
    <w:p w14:paraId="58E5EEB2" w14:textId="77777777" w:rsidR="0003539E" w:rsidRPr="000A03F1" w:rsidRDefault="0003539E" w:rsidP="0003539E">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S5.</w:t>
      </w:r>
      <w:r w:rsidRPr="000A03F1">
        <w:rPr>
          <w:rFonts w:ascii="Times New Roman" w:eastAsia="Calibri" w:hAnsi="Times New Roman" w:cs="Times New Roman"/>
          <w:sz w:val="24"/>
          <w:szCs w:val="24"/>
        </w:rPr>
        <w:t xml:space="preserve"> The resulting DENV-1 to DENV-4 serotype dominance following vaccination in scenario 2.</w:t>
      </w:r>
    </w:p>
    <w:p w14:paraId="08031B4D"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p>
    <w:p w14:paraId="7A3B1D61"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4B498DE0" wp14:editId="5FD49DC5">
            <wp:extent cx="6120000" cy="3762337"/>
            <wp:effectExtent l="0" t="0" r="0" b="0"/>
            <wp:docPr id="493697945" name="Picture 4"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97945" name="Picture 4" descr="A collage of graph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000" cy="3762337"/>
                    </a:xfrm>
                    <a:prstGeom prst="rect">
                      <a:avLst/>
                    </a:prstGeom>
                    <a:noFill/>
                  </pic:spPr>
                </pic:pic>
              </a:graphicData>
            </a:graphic>
          </wp:inline>
        </w:drawing>
      </w:r>
    </w:p>
    <w:p w14:paraId="48E30C39" w14:textId="77777777" w:rsidR="0003539E" w:rsidRPr="000A03F1" w:rsidRDefault="0003539E" w:rsidP="0003539E">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S6.</w:t>
      </w:r>
      <w:r w:rsidRPr="000A03F1">
        <w:rPr>
          <w:rFonts w:ascii="Times New Roman" w:eastAsia="Calibri" w:hAnsi="Times New Roman" w:cs="Times New Roman"/>
          <w:sz w:val="24"/>
          <w:szCs w:val="24"/>
        </w:rPr>
        <w:t xml:space="preserve"> The resulting DENV-1 to DENV-4 serotype dominance following vaccination in scenario 3.</w:t>
      </w:r>
    </w:p>
    <w:p w14:paraId="4958B575"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7AB56EC5" wp14:editId="1D678476">
            <wp:extent cx="6120000" cy="3766252"/>
            <wp:effectExtent l="0" t="0" r="0" b="5715"/>
            <wp:docPr id="69461531" name="Picture 6"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1531" name="Picture 6" descr="A collage of graph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3766252"/>
                    </a:xfrm>
                    <a:prstGeom prst="rect">
                      <a:avLst/>
                    </a:prstGeom>
                    <a:noFill/>
                  </pic:spPr>
                </pic:pic>
              </a:graphicData>
            </a:graphic>
          </wp:inline>
        </w:drawing>
      </w:r>
    </w:p>
    <w:p w14:paraId="6B361FAB" w14:textId="77777777" w:rsidR="0003539E" w:rsidRPr="000A03F1" w:rsidRDefault="0003539E" w:rsidP="0003539E">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S7.</w:t>
      </w:r>
      <w:r w:rsidRPr="000A03F1">
        <w:rPr>
          <w:rFonts w:ascii="Times New Roman" w:eastAsia="Calibri" w:hAnsi="Times New Roman" w:cs="Times New Roman"/>
          <w:sz w:val="24"/>
          <w:szCs w:val="24"/>
        </w:rPr>
        <w:t xml:space="preserve"> The resulting DENV-1 to DENV-4 serotype dominance following vaccination in scenario 4.</w:t>
      </w:r>
    </w:p>
    <w:p w14:paraId="1669DEFB"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p>
    <w:p w14:paraId="769C0066" w14:textId="77777777" w:rsidR="0003539E" w:rsidRPr="000A03F1" w:rsidRDefault="0003539E" w:rsidP="0003539E">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27517750" wp14:editId="7B5B06BC">
            <wp:extent cx="6102350" cy="3755390"/>
            <wp:effectExtent l="0" t="0" r="0" b="0"/>
            <wp:docPr id="174132026"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2026" name="Picture 5" descr="A collage of graph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2350" cy="3755390"/>
                    </a:xfrm>
                    <a:prstGeom prst="rect">
                      <a:avLst/>
                    </a:prstGeom>
                    <a:noFill/>
                  </pic:spPr>
                </pic:pic>
              </a:graphicData>
            </a:graphic>
          </wp:inline>
        </w:drawing>
      </w:r>
    </w:p>
    <w:p w14:paraId="1B878FB1" w14:textId="7E1FC85C" w:rsidR="005C7CFC" w:rsidRPr="0003539E" w:rsidRDefault="0003539E" w:rsidP="0003539E">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S8.</w:t>
      </w:r>
      <w:r w:rsidRPr="000A03F1">
        <w:rPr>
          <w:rFonts w:ascii="Times New Roman" w:eastAsia="Calibri" w:hAnsi="Times New Roman" w:cs="Times New Roman"/>
          <w:sz w:val="24"/>
          <w:szCs w:val="24"/>
        </w:rPr>
        <w:t xml:space="preserve"> The resulting DENV-1 to DENV-4 serotype dominance following vaccination in scenario 5.</w:t>
      </w:r>
    </w:p>
    <w:sectPr w:rsidR="005C7CFC" w:rsidRPr="0003539E" w:rsidSect="00484F27">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39E"/>
    <w:rsid w:val="0003539E"/>
    <w:rsid w:val="005C7CFC"/>
    <w:rsid w:val="00774ED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326BF"/>
  <w15:chartTrackingRefBased/>
  <w15:docId w15:val="{A22AC319-5534-4E59-8406-3EC0F5293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39E"/>
    <w:pPr>
      <w:spacing w:after="0" w:line="276" w:lineRule="auto"/>
    </w:pPr>
    <w:rPr>
      <w:rFonts w:ascii="Arial" w:eastAsia="Arial" w:hAnsi="Arial" w:cs="Arial"/>
      <w:kern w:val="0"/>
      <w:lang w:val="en-GB"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271</Words>
  <Characters>1546</Characters>
  <Application>Microsoft Office Word</Application>
  <DocSecurity>0</DocSecurity>
  <Lines>12</Lines>
  <Paragraphs>3</Paragraphs>
  <ScaleCrop>false</ScaleCrop>
  <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Nando Pratama</dc:creator>
  <cp:keywords/>
  <dc:description/>
  <cp:lastModifiedBy>Nando Pratama</cp:lastModifiedBy>
  <cp:revision>1</cp:revision>
  <dcterms:created xsi:type="dcterms:W3CDTF">2023-08-23T08:41:00Z</dcterms:created>
  <dcterms:modified xsi:type="dcterms:W3CDTF">2023-08-23T08:45:00Z</dcterms:modified>
</cp:coreProperties>
</file>