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60"/>
        <w:jc w:val="center"/>
      </w:pPr>
      <w:r>
        <w:rPr>
          <w:rFonts w:ascii="Arial" w:cs="Arial" w:eastAsia="Arial" w:hAnsi="Arial"/>
          <w:b/>
          <w:bCs/>
          <w:color w:val="00529B"/>
          <w:sz w:val="56"/>
          <w:szCs w:val="56"/>
        </w:rPr>
        <w:t xml:space="preserve">AI GOVERNANCE FRAMEWORK</w:t>
      </w:r>
    </w:p>
    <w:p>
      <w:pPr>
        <w:spacing w:after="60"/>
        <w:jc w:val="center"/>
      </w:pPr>
      <w:r>
        <w:rPr>
          <w:rFonts w:ascii="Arial" w:cs="Arial" w:eastAsia="Arial" w:hAnsi="Arial"/>
          <w:color w:val="2B6CB0"/>
          <w:sz w:val="34"/>
          <w:szCs w:val="34"/>
        </w:rPr>
        <w:t xml:space="preserve">FOR GUIDEWIRE AI CODE ASSISTANT</w:t>
      </w:r>
    </w:p>
    <w:p>
      <w:pPr>
        <w:spacing w:after="40"/>
        <w:jc w:val="center"/>
      </w:pPr>
      <w:r>
        <w:rPr>
          <w:rFonts w:ascii="Arial" w:cs="Arial" w:eastAsia="Arial" w:hAnsi="Arial"/>
          <w:color w:val="5A6778"/>
          <w:sz w:val="24"/>
          <w:szCs w:val="24"/>
        </w:rPr>
        <w:t xml:space="preserve">PolicyCenter  |  ClaimCenter  |  BillingCenter  |  Integrations</w:t>
      </w:r>
    </w:p>
    <w:p>
      <w:pPr>
        <w:pBdr>
          <w:bottom w:val="single" w:color="00529B" w:sz="6" w:space="1"/>
        </w:pBdr>
        <w:spacing w:after="400"/>
        <w:jc w:val="center"/>
      </w:pPr>
    </w:p>
    <w:p>
      <w:pPr>
        <w:spacing w:after="200"/>
      </w:pPr>
    </w:p>
    <w:p>
      <w:pPr>
        <w:spacing w:after="80"/>
        <w:jc w:val="center"/>
      </w:pPr>
      <w:r>
        <w:rPr>
          <w:rFonts w:ascii="Arial" w:cs="Arial" w:eastAsia="Arial" w:hAnsi="Arial"/>
          <w:color w:val="5A6778"/>
          <w:sz w:val="24"/>
          <w:szCs w:val="24"/>
        </w:rPr>
        <w:t xml:space="preserve">Policies, Controls, Checklists &amp; Templates</w:t>
      </w:r>
    </w:p>
    <w:p>
      <w:pPr>
        <w:spacing w:after="80"/>
        <w:jc w:val="center"/>
      </w:pPr>
      <w:r>
        <w:rPr>
          <w:rFonts w:ascii="Arial" w:cs="Arial" w:eastAsia="Arial" w:hAnsi="Arial"/>
          <w:color w:val="5A6778"/>
          <w:sz w:val="22"/>
          <w:szCs w:val="22"/>
        </w:rPr>
        <w:t xml:space="preserve">Covering: Data Privacy &amp; PII | Code Quality | IP &amp; Licensing | SOX / HIPAA Compliance</w:t>
      </w:r>
    </w:p>
    <w:p>
      <w:pPr>
        <w:spacing w:after="200"/>
      </w:pPr>
    </w:p>
    <w:p>
      <w:pPr>
        <w:spacing w:after="200"/>
      </w:pPr>
    </w:p>
    <w:p>
      <w:pPr>
        <w:spacing w:after="80"/>
        <w:jc w:val="center"/>
      </w:pPr>
      <w:r>
        <w:rPr>
          <w:rFonts w:ascii="Arial" w:cs="Arial" w:eastAsia="Arial" w:hAnsi="Arial"/>
          <w:b/>
          <w:bCs/>
          <w:color w:val="C53030"/>
          <w:sz w:val="22"/>
          <w:szCs w:val="22"/>
        </w:rPr>
        <w:t xml:space="preserve">CONFIDENTIAL — CLIENT DELIVERABLE</w:t>
      </w:r>
    </w:p>
    <w:p>
      <w:pPr>
        <w:spacing w:after="80"/>
        <w:jc w:val="center"/>
      </w:pPr>
      <w:r>
        <w:rPr>
          <w:rFonts w:ascii="Arial" w:cs="Arial" w:eastAsia="Arial" w:hAnsi="Arial"/>
          <w:color w:val="5A6778"/>
          <w:sz w:val="22"/>
          <w:szCs w:val="22"/>
        </w:rPr>
        <w:t xml:space="preserve">Version 1.0  |  March 2026</w:t>
      </w:r>
    </w:p>
    <w:p>
      <w:r>
        <w:br w:type="page"/>
      </w:r>
    </w:p>
    <w:p>
      <w:pPr>
        <w:pStyle w:val="Heading1"/>
      </w:pPr>
      <w:r>
        <w:t xml:space="preserve">Document Control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Document Title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Governance Framework for Guidewire AI Code Assistant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Confidential — Client Deliverable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[Your Organization Name]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Prepared For</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 Name]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Effective Date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[Date]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Next Review Date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[Date + 90 days]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Approved By</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 Stakeholder Name &amp; Title]</w:t>
            </w:r>
          </w:p>
        </w:tc>
      </w:tr>
    </w:tbl>
    <w:p>
      <w:pPr>
        <w:spacing w:after="200"/>
      </w:pP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Initial release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This document establishes the AI Governance Framework governing the use of AI-powered code assistance tools within the Guidewire InsuranceSuite implementation engagement. The framework addresses the client’s requirements for data privacy and PII protection, code quality and reliability assurance, intellectual property ownership and licensing clarity, and regulatory compliance with SOX, HIPAA, and applicable insurance regulations.</w:t>
      </w:r>
    </w:p>
    <w:p>
      <w:pPr>
        <w:spacing w:after="160"/>
      </w:pPr>
      <w:r>
        <w:t xml:space="preserve">Our AI code assistant leverages Claude Code with purpose-built agents specifically configured for Guidewire development across PolicyCenter, ClaimCenter, and BillingCenter configuration, Gosu code generation, and integration/API development. This framework ensures that all AI-assisted development activities are transparent, auditable, secure, and compliant.</w:t>
      </w:r>
    </w:p>
    <w:p>
      <w:pPr>
        <w:spacing w:after="200"/>
      </w:pPr>
    </w:p>
    <w:p>
      <w:pPr>
        <w:pStyle w:val="Heading2"/>
      </w:pPr>
      <w:r>
        <w:t xml:space="preserve">1.1 Key Commitments</w:t>
      </w:r>
    </w:p>
    <w:p>
      <w:pPr>
        <w:pStyle w:val="ListParagraph"/>
        <w:numPr>
          <w:ilvl w:val="0"/>
          <w:numId w:val="2"/>
        </w:numPr>
        <w:spacing w:after="80"/>
      </w:pPr>
      <w:r>
        <w:rPr>
          <w:rFonts w:ascii="Arial" w:cs="Arial" w:eastAsia="Arial" w:hAnsi="Arial"/>
          <w:b/>
          <w:bCs/>
          <w:sz w:val="22"/>
          <w:szCs w:val="22"/>
        </w:rPr>
        <w:t xml:space="preserve">Human-in-the-Loop Guarantee: </w:t>
      </w:r>
      <w:r>
        <w:rPr>
          <w:rFonts w:ascii="Arial" w:cs="Arial" w:eastAsia="Arial" w:hAnsi="Arial"/>
          <w:sz w:val="22"/>
          <w:szCs w:val="22"/>
        </w:rPr>
        <w:t xml:space="preserve">Every AI-generated artifact is reviewed and approved by a certified Guidewire developer before entering any environment. No AI output is deployed without human validation.</w:t>
      </w:r>
    </w:p>
    <w:p>
      <w:pPr>
        <w:pStyle w:val="ListParagraph"/>
        <w:numPr>
          <w:ilvl w:val="0"/>
          <w:numId w:val="2"/>
        </w:numPr>
        <w:spacing w:after="80"/>
      </w:pPr>
      <w:r>
        <w:rPr>
          <w:rFonts w:ascii="Arial" w:cs="Arial" w:eastAsia="Arial" w:hAnsi="Arial"/>
          <w:b/>
          <w:bCs/>
          <w:sz w:val="22"/>
          <w:szCs w:val="22"/>
        </w:rPr>
        <w:t xml:space="preserve">Zero PII Exposure: </w:t>
      </w:r>
      <w:r>
        <w:rPr>
          <w:rFonts w:ascii="Arial" w:cs="Arial" w:eastAsia="Arial" w:hAnsi="Arial"/>
          <w:sz w:val="22"/>
          <w:szCs w:val="22"/>
        </w:rPr>
        <w:t xml:space="preserve">Policyholder data, claims data, and all personally identifiable information are never passed to AI models. Only sanitized schemas, patterns, and synthetic data are used.</w:t>
      </w:r>
    </w:p>
    <w:p>
      <w:pPr>
        <w:pStyle w:val="ListParagraph"/>
        <w:numPr>
          <w:ilvl w:val="0"/>
          <w:numId w:val="2"/>
        </w:numPr>
        <w:spacing w:after="80"/>
      </w:pPr>
      <w:r>
        <w:rPr>
          <w:rFonts w:ascii="Arial" w:cs="Arial" w:eastAsia="Arial" w:hAnsi="Arial"/>
          <w:b/>
          <w:bCs/>
          <w:sz w:val="22"/>
          <w:szCs w:val="22"/>
        </w:rPr>
        <w:t xml:space="preserve">Client IP Ownership: </w:t>
      </w:r>
      <w:r>
        <w:rPr>
          <w:rFonts w:ascii="Arial" w:cs="Arial" w:eastAsia="Arial" w:hAnsi="Arial"/>
          <w:sz w:val="22"/>
          <w:szCs w:val="22"/>
        </w:rPr>
        <w:t xml:space="preserve">All code produced for this engagement, whether AI-assisted or human-written, is owned by the client as work-for-hire under the existing services agreement.</w:t>
      </w:r>
    </w:p>
    <w:p>
      <w:pPr>
        <w:pStyle w:val="ListParagraph"/>
        <w:numPr>
          <w:ilvl w:val="0"/>
          <w:numId w:val="2"/>
        </w:numPr>
        <w:spacing w:after="80"/>
      </w:pPr>
      <w:r>
        <w:rPr>
          <w:rFonts w:ascii="Arial" w:cs="Arial" w:eastAsia="Arial" w:hAnsi="Arial"/>
          <w:b/>
          <w:bCs/>
          <w:sz w:val="22"/>
          <w:szCs w:val="22"/>
        </w:rPr>
        <w:t xml:space="preserve">Full Audit Trail: </w:t>
      </w:r>
      <w:r>
        <w:rPr>
          <w:rFonts w:ascii="Arial" w:cs="Arial" w:eastAsia="Arial" w:hAnsi="Arial"/>
          <w:sz w:val="22"/>
          <w:szCs w:val="22"/>
        </w:rPr>
        <w:t xml:space="preserve">Every AI interaction is logged with immutable records showing what was generated, who reviewed it, and what was approved or modified.</w:t>
      </w:r>
    </w:p>
    <w:p>
      <w:pPr>
        <w:pStyle w:val="ListParagraph"/>
        <w:numPr>
          <w:ilvl w:val="0"/>
          <w:numId w:val="2"/>
        </w:numPr>
        <w:spacing w:after="80"/>
      </w:pPr>
      <w:r>
        <w:rPr>
          <w:rFonts w:ascii="Arial" w:cs="Arial" w:eastAsia="Arial" w:hAnsi="Arial"/>
          <w:b/>
          <w:bCs/>
          <w:sz w:val="22"/>
          <w:szCs w:val="22"/>
        </w:rPr>
        <w:t xml:space="preserve">Regulatory Alignment: </w:t>
      </w:r>
      <w:r>
        <w:rPr>
          <w:rFonts w:ascii="Arial" w:cs="Arial" w:eastAsia="Arial" w:hAnsi="Arial"/>
          <w:sz w:val="22"/>
          <w:szCs w:val="22"/>
        </w:rPr>
        <w:t xml:space="preserve">All controls are designed to support SOX IT General Controls (ITGCs), HIPAA technical safeguards, and state insurance department regulatory requirements.</w:t>
      </w:r>
    </w:p>
    <w:p>
      <w:pPr>
        <w:spacing w:after="200"/>
      </w:pPr>
    </w:p>
    <w:p>
      <w:pPr>
        <w:pStyle w:val="Heading2"/>
      </w:pPr>
      <w:r>
        <w:t xml:space="preserve">1.2 Scope</w:t>
      </w:r>
    </w:p>
    <w:p>
      <w:pPr>
        <w:spacing w:after="160"/>
      </w:pPr>
      <w:r>
        <w:t xml:space="preserve">This framework applies to:</w:t>
      </w:r>
    </w:p>
    <w:p>
      <w:pPr>
        <w:pStyle w:val="ListParagraph"/>
        <w:numPr>
          <w:ilvl w:val="0"/>
          <w:numId w:val="2"/>
        </w:numPr>
        <w:spacing w:after="80"/>
      </w:pPr>
      <w:r>
        <w:rPr>
          <w:rFonts w:ascii="Arial" w:cs="Arial" w:eastAsia="Arial" w:hAnsi="Arial"/>
          <w:sz w:val="22"/>
          <w:szCs w:val="22"/>
        </w:rPr>
        <w:t xml:space="preserve">Guidewire PolicyCenter configuration: product model, underwriting rules, rating algorithms, workflow configuration</w:t>
      </w:r>
    </w:p>
    <w:p>
      <w:pPr>
        <w:pStyle w:val="ListParagraph"/>
        <w:numPr>
          <w:ilvl w:val="0"/>
          <w:numId w:val="2"/>
        </w:numPr>
        <w:spacing w:after="80"/>
      </w:pPr>
      <w:r>
        <w:rPr>
          <w:rFonts w:ascii="Arial" w:cs="Arial" w:eastAsia="Arial" w:hAnsi="Arial"/>
          <w:sz w:val="22"/>
          <w:szCs w:val="22"/>
        </w:rPr>
        <w:t xml:space="preserve">Guidewire ClaimCenter configuration: claim handling rules, reserve calculations, adjudication workflows, FNOL processes</w:t>
      </w:r>
    </w:p>
    <w:p>
      <w:pPr>
        <w:pStyle w:val="ListParagraph"/>
        <w:numPr>
          <w:ilvl w:val="0"/>
          <w:numId w:val="2"/>
        </w:numPr>
        <w:spacing w:after="80"/>
      </w:pPr>
      <w:r>
        <w:rPr>
          <w:rFonts w:ascii="Arial" w:cs="Arial" w:eastAsia="Arial" w:hAnsi="Arial"/>
          <w:sz w:val="22"/>
          <w:szCs w:val="22"/>
        </w:rPr>
        <w:t xml:space="preserve">Guidewire BillingCenter configuration: billing plans, payment processing rules, commission calculations</w:t>
      </w:r>
    </w:p>
    <w:p>
      <w:pPr>
        <w:pStyle w:val="ListParagraph"/>
        <w:numPr>
          <w:ilvl w:val="0"/>
          <w:numId w:val="2"/>
        </w:numPr>
        <w:spacing w:after="80"/>
      </w:pPr>
      <w:r>
        <w:rPr>
          <w:rFonts w:ascii="Arial" w:cs="Arial" w:eastAsia="Arial" w:hAnsi="Arial"/>
          <w:sz w:val="22"/>
          <w:szCs w:val="22"/>
        </w:rPr>
        <w:t xml:space="preserve">Gosu code generation: entity extensions, enhancement classes, custom plugins, batch processes, messaging</w:t>
      </w:r>
    </w:p>
    <w:p>
      <w:pPr>
        <w:pStyle w:val="ListParagraph"/>
        <w:numPr>
          <w:ilvl w:val="0"/>
          <w:numId w:val="2"/>
        </w:numPr>
        <w:spacing w:after="80"/>
      </w:pPr>
      <w:r>
        <w:rPr>
          <w:rFonts w:ascii="Arial" w:cs="Arial" w:eastAsia="Arial" w:hAnsi="Arial"/>
          <w:sz w:val="22"/>
          <w:szCs w:val="22"/>
        </w:rPr>
        <w:t xml:space="preserve">Integration development: REST/SOAP APIs, Cloud API extensions, messaging integrations, ETL processes</w:t>
      </w:r>
    </w:p>
    <w:p>
      <w:pPr>
        <w:pStyle w:val="ListParagraph"/>
        <w:numPr>
          <w:ilvl w:val="0"/>
          <w:numId w:val="2"/>
        </w:numPr>
        <w:spacing w:after="80"/>
      </w:pPr>
      <w:r>
        <w:rPr>
          <w:rFonts w:ascii="Arial" w:cs="Arial" w:eastAsia="Arial" w:hAnsi="Arial"/>
          <w:sz w:val="22"/>
          <w:szCs w:val="22"/>
        </w:rPr>
        <w:t xml:space="preserve">All environments: local development, CI/CD pipelines, SIT, UAT, performance, and production</w:t>
      </w:r>
    </w:p>
    <w:p>
      <w:pPr>
        <w:spacing w:after="200"/>
      </w:pPr>
    </w:p>
    <w:p>
      <w:r>
        <w:br w:type="page"/>
      </w:r>
    </w:p>
    <w:p>
      <w:pPr>
        <w:pStyle w:val="Heading1"/>
      </w:pPr>
      <w:r>
        <w:t xml:space="preserve">2. AI Tool Architecture &amp; Transparency</w:t>
      </w:r>
    </w:p>
    <w:p>
      <w:pPr>
        <w:spacing w:after="160"/>
      </w:pPr>
      <w:r>
        <w:t xml:space="preserve">Full transparency about the AI tools, their capabilities, and their limitations is foundational to this governance framework.</w:t>
      </w:r>
    </w:p>
    <w:p>
      <w:pPr>
        <w:spacing w:after="200"/>
      </w:pPr>
    </w:p>
    <w:p>
      <w:pPr>
        <w:pStyle w:val="Heading2"/>
      </w:pPr>
      <w:r>
        <w:t xml:space="preserve">2.1 AI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Data Flow</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Code (Base Platform)</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coding assistant from Anthropic, used via API with enterprise agreement</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Prompts sent to Anthropic API; responses returned. No data stored by Anthropic for training.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Guidewire Config Agent</w:t>
            </w:r>
          </w:p>
        </w:tc>
        <w:tc>
          <w:tcPr>
            <w:tcW w:type="dxa" w:w="35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Custom agent specialized for PolicyCenter, ClaimCenter, BillingCenter configuration patterns</w:t>
            </w:r>
          </w:p>
        </w:tc>
        <w:tc>
          <w:tcPr>
            <w:tcW w:type="dxa" w:w="35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Receives sanitized schema + requirements; generates configuration XML/Gosu. No access to policyholder data.</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Code Agent</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Custom agent trained on Guidewire Gosu patterns, entity extensions, and plugin development</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Receives interface contracts and patterns; generates Gosu code. No access to production databases.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Integration Agent</w:t>
            </w:r>
          </w:p>
        </w:tc>
        <w:tc>
          <w:tcPr>
            <w:tcW w:type="dxa" w:w="35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Custom agent for REST API, Cloud API, and messaging integration patterns</w:t>
            </w:r>
          </w:p>
        </w:tc>
        <w:tc>
          <w:tcPr>
            <w:tcW w:type="dxa" w:w="35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Receives API specifications and integration requirements; generates adapter and mapping code.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Test Generation Agent</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Custom agent for generating Guidewire-specific test cases and test data</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Receives test requirements and sanitized schemas; generates GUnit tests and synthetic test data.</w:t>
            </w:r>
          </w:p>
        </w:tc>
      </w:tr>
    </w:tbl>
    <w:p>
      <w:pPr>
        <w:spacing w:after="200"/>
      </w:pPr>
    </w:p>
    <w:p>
      <w:pPr>
        <w:pStyle w:val="Heading2"/>
      </w:pPr>
      <w:r>
        <w:t xml:space="preserve">2.2 What the AI Does and Does NOT 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AI DOES</w:t>
            </w:r>
          </w:p>
        </w:tc>
        <w:tc>
          <w:tcPr>
            <w:tcW w:type="dxa" w:w="46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AI DOES NOT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Gosu code based on patterns and requirements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Access any Guidewire environment directly</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Suggest configuration changes for PC/CC/BC</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Connect to any database or data store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 integration code for APIs and messaging</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Have access to policyholder or claims data</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Generate unit/integration test scaffolding</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Make deployment decisions or push code</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Assist with Guidewire-specific best practices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Bypass any code review or approval process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Create documentation and ADRs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Modify production configurations autonomously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Identify potential code quality issues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Store or retain any client data between sessions</w:t>
            </w:r>
          </w:p>
        </w:tc>
      </w:tr>
    </w:tbl>
    <w:p>
      <w:pPr>
        <w:spacing w:after="200"/>
      </w:pPr>
    </w:p>
    <w:p>
      <w:pPr>
        <w:pStyle w:val="Heading2"/>
      </w:pPr>
      <w:r>
        <w:t xml:space="preserve">2.3 Data Flow Architecture</w:t>
      </w:r>
    </w:p>
    <w:p>
      <w:pPr>
        <w:spacing w:after="160"/>
      </w:pPr>
      <w:r>
        <w:t xml:space="preserve">The data flow between your Guidewire environments and the AI assistant is strictly controlled:</w:t>
      </w:r>
    </w:p>
    <w:p>
      <w:pPr>
        <w:spacing w:after="200"/>
      </w:pPr>
    </w:p>
    <w:p>
      <w:pPr>
        <w:pStyle w:val="ListParagraph"/>
        <w:numPr>
          <w:ilvl w:val="0"/>
          <w:numId w:val="2"/>
        </w:numPr>
        <w:spacing w:after="80"/>
      </w:pPr>
      <w:r>
        <w:rPr>
          <w:rFonts w:ascii="Arial" w:cs="Arial" w:eastAsia="Arial" w:hAnsi="Arial"/>
          <w:b/>
          <w:bCs/>
          <w:sz w:val="22"/>
          <w:szCs w:val="22"/>
        </w:rPr>
        <w:t xml:space="preserve">Inbound to AI (What Goes In): </w:t>
      </w:r>
      <w:r>
        <w:rPr>
          <w:rFonts w:ascii="Arial" w:cs="Arial" w:eastAsia="Arial" w:hAnsi="Arial"/>
          <w:sz w:val="22"/>
          <w:szCs w:val="22"/>
        </w:rPr>
        <w:t xml:space="preserve">Sanitized Guidewire data model schemas (no actual data), requirement specifications, Gosu interface contracts, API specifications (OpenAPI/Swagger), error messages with PII stripped, configuration templates, and coding patterns.</w:t>
      </w:r>
    </w:p>
    <w:p>
      <w:pPr>
        <w:pStyle w:val="ListParagraph"/>
        <w:numPr>
          <w:ilvl w:val="0"/>
          <w:numId w:val="2"/>
        </w:numPr>
        <w:spacing w:after="80"/>
      </w:pPr>
      <w:r>
        <w:rPr>
          <w:rFonts w:ascii="Arial" w:cs="Arial" w:eastAsia="Arial" w:hAnsi="Arial"/>
          <w:b/>
          <w:bCs/>
          <w:sz w:val="22"/>
          <w:szCs w:val="22"/>
        </w:rPr>
        <w:t xml:space="preserve">Outbound from AI (What Comes Out): </w:t>
      </w:r>
      <w:r>
        <w:rPr>
          <w:rFonts w:ascii="Arial" w:cs="Arial" w:eastAsia="Arial" w:hAnsi="Arial"/>
          <w:sz w:val="22"/>
          <w:szCs w:val="22"/>
        </w:rPr>
        <w:t xml:space="preserve">Generated Gosu source code, configuration XML, integration adapter code, test scaffolding, documentation, and code review suggestions.</w:t>
      </w:r>
    </w:p>
    <w:p>
      <w:pPr>
        <w:pStyle w:val="ListParagraph"/>
        <w:numPr>
          <w:ilvl w:val="0"/>
          <w:numId w:val="2"/>
        </w:numPr>
        <w:spacing w:after="80"/>
      </w:pPr>
      <w:r>
        <w:rPr>
          <w:rFonts w:ascii="Arial" w:cs="Arial" w:eastAsia="Arial" w:hAnsi="Arial"/>
          <w:b/>
          <w:bCs/>
          <w:sz w:val="22"/>
          <w:szCs w:val="22"/>
        </w:rPr>
        <w:t xml:space="preserve">Never Enters AI Context: </w:t>
      </w:r>
      <w:r>
        <w:rPr>
          <w:rFonts w:ascii="Arial" w:cs="Arial" w:eastAsia="Arial" w:hAnsi="Arial"/>
          <w:sz w:val="22"/>
          <w:szCs w:val="22"/>
        </w:rPr>
        <w:t xml:space="preserve">Production data, policyholder PII, claims details, medical records, financial account numbers, authentication credentials, encryption keys, production connection strings, or audit logs containing user data.</w:t>
      </w:r>
    </w:p>
    <w:p>
      <w:pPr>
        <w:spacing w:after="200"/>
      </w:pPr>
    </w:p>
    <w:p>
      <w:r>
        <w:br w:type="page"/>
      </w:r>
    </w:p>
    <w:p>
      <w:pPr>
        <w:pStyle w:val="Heading1"/>
      </w:pPr>
      <w:r>
        <w:t xml:space="preserve">3. Data Privacy &amp; PII Protection</w:t>
      </w:r>
    </w:p>
    <w:p>
      <w:pPr>
        <w:spacing w:after="160"/>
      </w:pPr>
      <w:r>
        <w:t xml:space="preserve">As an insurance implementation, this engagement handles sensitive policyholder, claimant, and health data. This section establishes absolute controls preventing any such data from reaching the AI assistant.</w:t>
      </w:r>
    </w:p>
    <w:p>
      <w:pPr>
        <w:spacing w:after="200"/>
      </w:pPr>
    </w:p>
    <w:p>
      <w:pPr>
        <w:pStyle w:val="Heading2"/>
      </w:pPr>
      <w:r>
        <w:t xml:space="preserve">3.1 Data Classification for AI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3980"/>
      </w:tblGrid>
      <w:tr>
        <w:tc>
          <w:tcPr>
            <w:tcW w:type="dxa" w:w="20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3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Guidewire Examples</w:t>
            </w:r>
          </w:p>
        </w:tc>
        <w:tc>
          <w:tcPr>
            <w:tcW w:type="dxa" w:w="39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AI Context Rule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PROHIBITED — Never Enters AI</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Policyholder names, SSNs, DOBs, addresses, policy numbers, claim numbers, medical records, bank accounts, driver’s license numbers, VINs with owner linkage</w:t>
            </w:r>
          </w:p>
        </w:tc>
        <w:tc>
          <w:tcPr>
            <w:tcW w:type="dxa" w:w="39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ABSOLUTE BAN. Automated scanning enforced at context submission layer.</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RESTRICTED — Requires Sanitization</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Production error logs, database query results, Guidewire server logs, XML transaction payloads, claim notes</w:t>
            </w:r>
          </w:p>
        </w:tc>
        <w:tc>
          <w:tcPr>
            <w:tcW w:type="dxa" w:w="39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Must be fully sanitized (PII removed/replaced with synthetic tokens) before use. Sanitization verified by second reviewer.</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INTERNAL — Permitted with Caution</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model schemas (entity definitions), Gosu class structures, configuration typelists, workflow definitions, integration specifications</w:t>
            </w:r>
          </w:p>
        </w:tc>
        <w:tc>
          <w:tcPr>
            <w:tcW w:type="dxa" w:w="39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Permitted in AI context. Must not contain embedded production data. Review before submission.</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OPEN — Unrestricted</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Guidewire public documentation references, standard design patterns, Gosu language syntax, generic InsuranceSuite architecture</w:t>
            </w:r>
          </w:p>
        </w:tc>
        <w:tc>
          <w:tcPr>
            <w:tcW w:type="dxa" w:w="39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to use in any AI context.</w:t>
            </w:r>
          </w:p>
        </w:tc>
      </w:tr>
    </w:tbl>
    <w:p>
      <w:pPr>
        <w:spacing w:after="200"/>
      </w:pPr>
    </w:p>
    <w:p>
      <w:pPr>
        <w:pStyle w:val="Heading2"/>
      </w:pPr>
      <w:r>
        <w:t xml:space="preserve">3.2 PII Prevention Controls</w:t>
      </w:r>
    </w:p>
    <w:p>
      <w:pPr>
        <w:spacing w:after="160"/>
      </w:pPr>
      <w:r>
        <w:t xml:space="preserve">Multiple layers of controls prevent PII from entering AI context:</w:t>
      </w:r>
    </w:p>
    <w:p>
      <w:pPr>
        <w:spacing w:after="200"/>
      </w:pPr>
    </w:p>
    <w:p>
      <w:pPr>
        <w:pStyle w:val="ListParagraph"/>
        <w:numPr>
          <w:ilvl w:val="0"/>
          <w:numId w:val="2"/>
        </w:numPr>
        <w:spacing w:after="80"/>
      </w:pPr>
      <w:r>
        <w:rPr>
          <w:rFonts w:ascii="Arial" w:cs="Arial" w:eastAsia="Arial" w:hAnsi="Arial"/>
          <w:b/>
          <w:bCs/>
          <w:sz w:val="22"/>
          <w:szCs w:val="22"/>
        </w:rPr>
        <w:t xml:space="preserve">Layer 1 — Developer Training: </w:t>
      </w:r>
      <w:r>
        <w:rPr>
          <w:rFonts w:ascii="Arial" w:cs="Arial" w:eastAsia="Arial" w:hAnsi="Arial"/>
          <w:sz w:val="22"/>
          <w:szCs w:val="22"/>
        </w:rPr>
        <w:t xml:space="preserve">All developers complete mandatory PII-awareness training specific to insurance data before gaining AI tool access. Training covers Guidewire-specific PII locations (Contact entities, Claim entities, Policy entities).</w:t>
      </w:r>
    </w:p>
    <w:p>
      <w:pPr>
        <w:pStyle w:val="ListParagraph"/>
        <w:numPr>
          <w:ilvl w:val="0"/>
          <w:numId w:val="2"/>
        </w:numPr>
        <w:spacing w:after="80"/>
      </w:pPr>
      <w:r>
        <w:rPr>
          <w:rFonts w:ascii="Arial" w:cs="Arial" w:eastAsia="Arial" w:hAnsi="Arial"/>
          <w:b/>
          <w:bCs/>
          <w:sz w:val="22"/>
          <w:szCs w:val="22"/>
        </w:rPr>
        <w:t xml:space="preserve">Layer 2 — Automated Scanning: </w:t>
      </w:r>
      <w:r>
        <w:rPr>
          <w:rFonts w:ascii="Arial" w:cs="Arial" w:eastAsia="Arial" w:hAnsi="Arial"/>
          <w:sz w:val="22"/>
          <w:szCs w:val="22"/>
        </w:rPr>
        <w:t xml:space="preserve">Pre-submission scanner analyzes all text sent to AI context for patterns matching SSNs, policy numbers, claim numbers, phone numbers, email addresses, dates of birth, and names against known formats. Flagged content is blocked.</w:t>
      </w:r>
    </w:p>
    <w:p>
      <w:pPr>
        <w:pStyle w:val="ListParagraph"/>
        <w:numPr>
          <w:ilvl w:val="0"/>
          <w:numId w:val="2"/>
        </w:numPr>
        <w:spacing w:after="80"/>
      </w:pPr>
      <w:r>
        <w:rPr>
          <w:rFonts w:ascii="Arial" w:cs="Arial" w:eastAsia="Arial" w:hAnsi="Arial"/>
          <w:b/>
          <w:bCs/>
          <w:sz w:val="22"/>
          <w:szCs w:val="22"/>
        </w:rPr>
        <w:t xml:space="preserve">Layer 3 — Context Templates: </w:t>
      </w:r>
      <w:r>
        <w:rPr>
          <w:rFonts w:ascii="Arial" w:cs="Arial" w:eastAsia="Arial" w:hAnsi="Arial"/>
          <w:sz w:val="22"/>
          <w:szCs w:val="22"/>
        </w:rPr>
        <w:t xml:space="preserve">Developers use pre-approved context templates that include only schema definitions and interface contracts, not data. Templates are maintained in version control.</w:t>
      </w:r>
    </w:p>
    <w:p>
      <w:pPr>
        <w:pStyle w:val="ListParagraph"/>
        <w:numPr>
          <w:ilvl w:val="0"/>
          <w:numId w:val="2"/>
        </w:numPr>
        <w:spacing w:after="80"/>
      </w:pPr>
      <w:r>
        <w:rPr>
          <w:rFonts w:ascii="Arial" w:cs="Arial" w:eastAsia="Arial" w:hAnsi="Arial"/>
          <w:b/>
          <w:bCs/>
          <w:sz w:val="22"/>
          <w:szCs w:val="22"/>
        </w:rPr>
        <w:t xml:space="preserve">Layer 4 — Synthetic Data Only: </w:t>
      </w:r>
      <w:r>
        <w:rPr>
          <w:rFonts w:ascii="Arial" w:cs="Arial" w:eastAsia="Arial" w:hAnsi="Arial"/>
          <w:sz w:val="22"/>
          <w:szCs w:val="22"/>
        </w:rPr>
        <w:t xml:space="preserve">When data examples are needed for AI prompts, only synthetic data generators are used. A Guidewire-specific synthetic data library provides realistic but fabricated policyholder, claim, and billing data.</w:t>
      </w:r>
    </w:p>
    <w:p>
      <w:pPr>
        <w:pStyle w:val="ListParagraph"/>
        <w:numPr>
          <w:ilvl w:val="0"/>
          <w:numId w:val="2"/>
        </w:numPr>
        <w:spacing w:after="80"/>
      </w:pPr>
      <w:r>
        <w:rPr>
          <w:rFonts w:ascii="Arial" w:cs="Arial" w:eastAsia="Arial" w:hAnsi="Arial"/>
          <w:b/>
          <w:bCs/>
          <w:sz w:val="22"/>
          <w:szCs w:val="22"/>
        </w:rPr>
        <w:t xml:space="preserve">Layer 5 — Audit &amp; Monitoring: </w:t>
      </w:r>
      <w:r>
        <w:rPr>
          <w:rFonts w:ascii="Arial" w:cs="Arial" w:eastAsia="Arial" w:hAnsi="Arial"/>
          <w:sz w:val="22"/>
          <w:szCs w:val="22"/>
        </w:rPr>
        <w:t xml:space="preserve">All AI context submissions are logged and periodically audited. Any PII detection in audit triggers an incident response process.</w:t>
      </w:r>
    </w:p>
    <w:p>
      <w:pPr>
        <w:spacing w:after="200"/>
      </w:pPr>
    </w:p>
    <w:p>
      <w:pPr>
        <w:pStyle w:val="Heading2"/>
      </w:pPr>
      <w:r>
        <w:t xml:space="preserve">3.3 Guidewire-Specific PII Locations</w:t>
      </w:r>
    </w:p>
    <w:p>
      <w:pPr>
        <w:spacing w:after="160"/>
      </w:pPr>
      <w:r>
        <w:t xml:space="preserve">Developers must be aware of where PII resides in the Guidewire data model: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Guidewire Module</w:t>
            </w:r>
          </w:p>
        </w:tc>
        <w:tc>
          <w:tcPr>
            <w:tcW w:type="dxa" w:w="31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High-Risk Entities</w:t>
            </w:r>
          </w:p>
        </w:tc>
        <w:tc>
          <w:tcPr>
            <w:tcW w:type="dxa" w:w="41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PII Fields to Never Include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PolicyCenter</w:t>
            </w:r>
          </w:p>
        </w:tc>
        <w:tc>
          <w:tcPr>
            <w:tcW w:type="dxa" w:w="31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Contact, Person, PolicyPeriod, PolicyAddress, Official ID</w:t>
            </w:r>
          </w:p>
        </w:tc>
        <w:tc>
          <w:tcPr>
            <w:tcW w:type="dxa" w:w="41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Name, SSN, DOB, Address, Phone, Email, Driver’s License, Tax ID</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ClaimCenter</w:t>
            </w:r>
          </w:p>
        </w:tc>
        <w:tc>
          <w:tcPr>
            <w:tcW w:type="dxa" w:w="31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Claim, ClaimContact, Exposure, MedicalDetails, Injury, Check</w:t>
            </w:r>
          </w:p>
        </w:tc>
        <w:tc>
          <w:tcPr>
            <w:tcW w:type="dxa" w:w="41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Claimant name, Injury details, Medical records, Payment details, Witness info</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BillingCenter</w:t>
            </w:r>
          </w:p>
        </w:tc>
        <w:tc>
          <w:tcPr>
            <w:tcW w:type="dxa" w:w="31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Account, PolicyPeriod, Payment, PaymentInstrument, DirectBillPayment</w:t>
            </w:r>
          </w:p>
        </w:tc>
        <w:tc>
          <w:tcPr>
            <w:tcW w:type="dxa" w:w="41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Account holder, Bank account numbers, Credit card numbers, Payment history</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Integration Layer</w:t>
            </w:r>
          </w:p>
        </w:tc>
        <w:tc>
          <w:tcPr>
            <w:tcW w:type="dxa" w:w="31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SOAP/REST payloads, Message queues, Batch file contents</w:t>
            </w:r>
          </w:p>
        </w:tc>
        <w:tc>
          <w:tcPr>
            <w:tcW w:type="dxa" w:w="41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Any payload containing production transaction data with real customer information</w:t>
            </w:r>
          </w:p>
        </w:tc>
      </w:tr>
    </w:tbl>
    <w:p>
      <w:pPr>
        <w:spacing w:after="200"/>
      </w:pPr>
    </w:p>
    <w:p>
      <w:pPr>
        <w:pStyle w:val="Heading2"/>
      </w:pPr>
      <w:r>
        <w:t xml:space="preserve">3.4 HIPAA Compliance Controls</w:t>
      </w:r>
    </w:p>
    <w:p>
      <w:pPr>
        <w:spacing w:after="160"/>
      </w:pPr>
      <w:r>
        <w:t xml:space="preserve">For engagements involving health insurance or workers’ compensation lines of business:</w:t>
      </w:r>
    </w:p>
    <w:p>
      <w:pPr>
        <w:pStyle w:val="ListParagraph"/>
        <w:numPr>
          <w:ilvl w:val="0"/>
          <w:numId w:val="2"/>
        </w:numPr>
        <w:spacing w:after="80"/>
      </w:pPr>
      <w:r>
        <w:rPr>
          <w:rFonts w:ascii="Arial" w:cs="Arial" w:eastAsia="Arial" w:hAnsi="Arial"/>
          <w:sz w:val="22"/>
          <w:szCs w:val="22"/>
        </w:rPr>
        <w:t xml:space="preserve">Protected Health Information (PHI) is classified as PROHIBITED and can never enter AI context under any circumstance</w:t>
      </w:r>
    </w:p>
    <w:p>
      <w:pPr>
        <w:pStyle w:val="ListParagraph"/>
        <w:numPr>
          <w:ilvl w:val="0"/>
          <w:numId w:val="2"/>
        </w:numPr>
        <w:spacing w:after="80"/>
      </w:pPr>
      <w:r>
        <w:rPr>
          <w:rFonts w:ascii="Arial" w:cs="Arial" w:eastAsia="Arial" w:hAnsi="Arial"/>
          <w:sz w:val="22"/>
          <w:szCs w:val="22"/>
        </w:rPr>
        <w:t xml:space="preserve">Medical procedure codes (ICD-10, CPT) without patient linkage may be used for configuration purposes only</w:t>
      </w:r>
    </w:p>
    <w:p>
      <w:pPr>
        <w:pStyle w:val="ListParagraph"/>
        <w:numPr>
          <w:ilvl w:val="0"/>
          <w:numId w:val="2"/>
        </w:numPr>
        <w:spacing w:after="80"/>
      </w:pPr>
      <w:r>
        <w:rPr>
          <w:rFonts w:ascii="Arial" w:cs="Arial" w:eastAsia="Arial" w:hAnsi="Arial"/>
          <w:sz w:val="22"/>
          <w:szCs w:val="22"/>
        </w:rPr>
        <w:t xml:space="preserve">ClaimCenter injury details, treatment notes, and medical bill line items are always PROHIBITED</w:t>
      </w:r>
    </w:p>
    <w:p>
      <w:pPr>
        <w:pStyle w:val="ListParagraph"/>
        <w:numPr>
          <w:ilvl w:val="0"/>
          <w:numId w:val="2"/>
        </w:numPr>
        <w:spacing w:after="80"/>
      </w:pPr>
      <w:r>
        <w:rPr>
          <w:rFonts w:ascii="Arial" w:cs="Arial" w:eastAsia="Arial" w:hAnsi="Arial"/>
          <w:sz w:val="22"/>
          <w:szCs w:val="22"/>
        </w:rPr>
        <w:t xml:space="preserve">Automated PHI detection includes HIPAA-specific identifiers: medical record numbers, health plan beneficiary numbers, and biometric identifiers</w:t>
      </w:r>
    </w:p>
    <w:p>
      <w:pPr>
        <w:pStyle w:val="ListParagraph"/>
        <w:numPr>
          <w:ilvl w:val="0"/>
          <w:numId w:val="2"/>
        </w:numPr>
        <w:spacing w:after="80"/>
      </w:pPr>
      <w:r>
        <w:rPr>
          <w:rFonts w:ascii="Arial" w:cs="Arial" w:eastAsia="Arial" w:hAnsi="Arial"/>
          <w:sz w:val="22"/>
          <w:szCs w:val="22"/>
        </w:rPr>
        <w:t xml:space="preserve">PHI incident response follows HIPAA breach notification timelines (72-hour assessment, 60-day notification if applicable)</w:t>
      </w:r>
    </w:p>
    <w:p>
      <w:pPr>
        <w:spacing w:after="200"/>
      </w:pPr>
    </w:p>
    <w:p>
      <w:r>
        <w:br w:type="page"/>
      </w:r>
    </w:p>
    <w:p>
      <w:pPr>
        <w:pStyle w:val="Heading1"/>
      </w:pPr>
      <w:r>
        <w:t xml:space="preserve">4. Code Quality &amp; Reliability Assurance</w:t>
      </w:r>
    </w:p>
    <w:p>
      <w:pPr>
        <w:spacing w:after="160"/>
      </w:pPr>
      <w:r>
        <w:t xml:space="preserve">AI-generated Guidewire code must meet the same quality standards as human-written code, with additional validation layers specific to the risks of AI generation.</w:t>
      </w:r>
    </w:p>
    <w:p>
      <w:pPr>
        <w:spacing w:after="200"/>
      </w:pPr>
    </w:p>
    <w:p>
      <w:pPr>
        <w:pStyle w:val="Heading2"/>
      </w:pPr>
      <w:r>
        <w:t xml:space="preserve">4.1 Validation Pipeline for AI-Generated Guidewire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360"/>
        <w:gridCol w:w="3100"/>
      </w:tblGrid>
      <w:tr>
        <w:tc>
          <w:tcPr>
            <w:tcW w:type="dxa" w:w="13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3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Guidewire-Specific Checks</w:t>
            </w:r>
          </w:p>
        </w:tc>
        <w:tc>
          <w:tcPr>
            <w:tcW w:type="dxa" w:w="31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 Generation</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Prompt Validation</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uses correct GW version, module context, and Gosu syntax target</w:t>
            </w:r>
          </w:p>
        </w:tc>
        <w:tc>
          <w:tcPr>
            <w:tcW w:type="dxa" w:w="3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Output compiles and matches requested pattern</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 Compilation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Build Check</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Gosu compilation in correct GW environment version; all imports resolve</w:t>
            </w:r>
          </w:p>
        </w:tc>
        <w:tc>
          <w:tcPr>
            <w:tcW w:type="dxa" w:w="3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Zero compilation errors; all dependencies available</w:t>
            </w:r>
          </w:p>
        </w:tc>
      </w:tr>
      <w:tr>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 Static Analysis</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Code Quality</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SonarQube with Gosu rules; Guidewire coding standards compliance</w:t>
            </w:r>
          </w:p>
        </w:tc>
        <w:tc>
          <w:tcPr>
            <w:tcW w:type="dxa" w:w="3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Zero critical/high issues; cyclomatic complexity within limits</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4. Security Scan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Vulnerability Check</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SAST scan; Gosu-specific injection checks; hardcoded credential detection</w:t>
            </w:r>
          </w:p>
        </w:tc>
        <w:tc>
          <w:tcPr>
            <w:tcW w:type="dxa" w:w="3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Zero vulnerabilities; no secrets in code</w:t>
            </w:r>
          </w:p>
        </w:tc>
      </w:tr>
      <w:tr>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 GW Pattern Conformance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Architecture Check</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Correct use of GW patterns: delegates, bundles, transactions, plugin interfaces</w:t>
            </w:r>
          </w:p>
        </w:tc>
        <w:tc>
          <w:tcPr>
            <w:tcW w:type="dxa" w:w="3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Follows GW best practices; no anti-patterns detected</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6. Unit Test</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Functional Validation</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GUnit tests covering business logic; boundary conditions; null handling</w:t>
            </w:r>
          </w:p>
        </w:tc>
        <w:tc>
          <w:tcPr>
            <w:tcW w:type="dxa" w:w="3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Branch coverage &gt;80%; all tests passing</w:t>
            </w:r>
          </w:p>
        </w:tc>
      </w:tr>
      <w:tr>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 Human Review</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Expert Approval</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Review by certified Guidewire developer with module-specific expertise</w:t>
            </w:r>
          </w:p>
        </w:tc>
        <w:tc>
          <w:tcPr>
            <w:tcW w:type="dxa" w:w="3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Approved with no blocking comments</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8. Integration Test</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System Validation</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End-to-end validation in SIT environment; regression test suite passing</w:t>
            </w:r>
          </w:p>
        </w:tc>
        <w:tc>
          <w:tcPr>
            <w:tcW w:type="dxa" w:w="3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All integration tests green; no regression failures</w:t>
            </w:r>
          </w:p>
        </w:tc>
      </w:tr>
    </w:tbl>
    <w:p>
      <w:pPr>
        <w:spacing w:after="200"/>
      </w:pPr>
    </w:p>
    <w:p>
      <w:pPr>
        <w:pStyle w:val="Heading2"/>
      </w:pPr>
      <w:r>
        <w:t xml:space="preserve">4.2 Guidewire-Specific Quality Standards</w:t>
      </w:r>
    </w:p>
    <w:p>
      <w:pPr>
        <w:spacing w:after="160"/>
      </w:pPr>
      <w:r>
        <w:t xml:space="preserve">AI-generated Guidewire code must comply with these domain-specific standards:</w:t>
      </w:r>
    </w:p>
    <w:p>
      <w:pPr>
        <w:spacing w:after="200"/>
      </w:pPr>
    </w:p>
    <w:p>
      <w:pPr>
        <w:pStyle w:val="Heading3"/>
      </w:pPr>
      <w:r>
        <w:t xml:space="preserve">4.2.1 Gosu Code Standards</w:t>
      </w:r>
    </w:p>
    <w:p>
      <w:pPr>
        <w:pStyle w:val="ListParagraph"/>
        <w:numPr>
          <w:ilvl w:val="0"/>
          <w:numId w:val="2"/>
        </w:numPr>
        <w:spacing w:after="80"/>
      </w:pPr>
      <w:r>
        <w:rPr>
          <w:rFonts w:ascii="Arial" w:cs="Arial" w:eastAsia="Arial" w:hAnsi="Arial"/>
          <w:sz w:val="22"/>
          <w:szCs w:val="22"/>
        </w:rPr>
        <w:t xml:space="preserve">Use of proper Guidewire delegate patterns for entity extensions</w:t>
      </w:r>
    </w:p>
    <w:p>
      <w:pPr>
        <w:pStyle w:val="ListParagraph"/>
        <w:numPr>
          <w:ilvl w:val="0"/>
          <w:numId w:val="2"/>
        </w:numPr>
        <w:spacing w:after="80"/>
      </w:pPr>
      <w:r>
        <w:rPr>
          <w:rFonts w:ascii="Arial" w:cs="Arial" w:eastAsia="Arial" w:hAnsi="Arial"/>
          <w:sz w:val="22"/>
          <w:szCs w:val="22"/>
        </w:rPr>
        <w:t xml:space="preserve">Correct transaction and bundle management (no leaked bundles, proper commit/rollback)</w:t>
      </w:r>
    </w:p>
    <w:p>
      <w:pPr>
        <w:pStyle w:val="ListParagraph"/>
        <w:numPr>
          <w:ilvl w:val="0"/>
          <w:numId w:val="2"/>
        </w:numPr>
        <w:spacing w:after="80"/>
      </w:pPr>
      <w:r>
        <w:rPr>
          <w:rFonts w:ascii="Arial" w:cs="Arial" w:eastAsia="Arial" w:hAnsi="Arial"/>
          <w:sz w:val="22"/>
          <w:szCs w:val="22"/>
        </w:rPr>
        <w:t xml:space="preserve">Proper use of Guidewire query API (no raw SQL, correct use of Query builder)</w:t>
      </w:r>
    </w:p>
    <w:p>
      <w:pPr>
        <w:pStyle w:val="ListParagraph"/>
        <w:numPr>
          <w:ilvl w:val="0"/>
          <w:numId w:val="2"/>
        </w:numPr>
        <w:spacing w:after="80"/>
      </w:pPr>
      <w:r>
        <w:rPr>
          <w:rFonts w:ascii="Arial" w:cs="Arial" w:eastAsia="Arial" w:hAnsi="Arial"/>
          <w:sz w:val="22"/>
          <w:szCs w:val="22"/>
        </w:rPr>
        <w:t xml:space="preserve">Adherence to Guidewire plugin interface patterns for custom functionality</w:t>
      </w:r>
    </w:p>
    <w:p>
      <w:pPr>
        <w:pStyle w:val="ListParagraph"/>
        <w:numPr>
          <w:ilvl w:val="0"/>
          <w:numId w:val="2"/>
        </w:numPr>
        <w:spacing w:after="80"/>
      </w:pPr>
      <w:r>
        <w:rPr>
          <w:rFonts w:ascii="Arial" w:cs="Arial" w:eastAsia="Arial" w:hAnsi="Arial"/>
          <w:sz w:val="22"/>
          <w:szCs w:val="22"/>
        </w:rPr>
        <w:t xml:space="preserve">Correct null handling using Gosu null-safe operators</w:t>
      </w:r>
    </w:p>
    <w:p>
      <w:pPr>
        <w:pStyle w:val="ListParagraph"/>
        <w:numPr>
          <w:ilvl w:val="0"/>
          <w:numId w:val="2"/>
        </w:numPr>
        <w:spacing w:after="80"/>
      </w:pPr>
      <w:r>
        <w:rPr>
          <w:rFonts w:ascii="Arial" w:cs="Arial" w:eastAsia="Arial" w:hAnsi="Arial"/>
          <w:sz w:val="22"/>
          <w:szCs w:val="22"/>
        </w:rPr>
        <w:t xml:space="preserve">Proper Guidewire logging (using category-based logging, not System.out)</w:t>
      </w:r>
    </w:p>
    <w:p>
      <w:pPr>
        <w:pStyle w:val="ListParagraph"/>
        <w:numPr>
          <w:ilvl w:val="0"/>
          <w:numId w:val="2"/>
        </w:numPr>
        <w:spacing w:after="80"/>
      </w:pPr>
      <w:r>
        <w:rPr>
          <w:rFonts w:ascii="Arial" w:cs="Arial" w:eastAsia="Arial" w:hAnsi="Arial"/>
          <w:sz w:val="22"/>
          <w:szCs w:val="22"/>
        </w:rPr>
        <w:t xml:space="preserve">Use of Guidewire display keys for all user-facing text (no hardcoded strings)</w:t>
      </w:r>
    </w:p>
    <w:p>
      <w:pPr>
        <w:spacing w:after="200"/>
      </w:pPr>
    </w:p>
    <w:p>
      <w:pPr>
        <w:pStyle w:val="Heading3"/>
      </w:pPr>
      <w:r>
        <w:t xml:space="preserve">4.2.2 Configuration Standards</w:t>
      </w:r>
    </w:p>
    <w:p>
      <w:pPr>
        <w:pStyle w:val="ListParagraph"/>
        <w:numPr>
          <w:ilvl w:val="0"/>
          <w:numId w:val="2"/>
        </w:numPr>
        <w:spacing w:after="80"/>
      </w:pPr>
      <w:r>
        <w:rPr>
          <w:rFonts w:ascii="Arial" w:cs="Arial" w:eastAsia="Arial" w:hAnsi="Arial"/>
          <w:sz w:val="22"/>
          <w:szCs w:val="22"/>
        </w:rPr>
        <w:t xml:space="preserve">Product model changes follow version-compatible upgrade patterns</w:t>
      </w:r>
    </w:p>
    <w:p>
      <w:pPr>
        <w:pStyle w:val="ListParagraph"/>
        <w:numPr>
          <w:ilvl w:val="0"/>
          <w:numId w:val="2"/>
        </w:numPr>
        <w:spacing w:after="80"/>
      </w:pPr>
      <w:r>
        <w:rPr>
          <w:rFonts w:ascii="Arial" w:cs="Arial" w:eastAsia="Arial" w:hAnsi="Arial"/>
          <w:sz w:val="22"/>
          <w:szCs w:val="22"/>
        </w:rPr>
        <w:t xml:space="preserve">Typelist additions include proper prioritization and retirement handling</w:t>
      </w:r>
    </w:p>
    <w:p>
      <w:pPr>
        <w:pStyle w:val="ListParagraph"/>
        <w:numPr>
          <w:ilvl w:val="0"/>
          <w:numId w:val="2"/>
        </w:numPr>
        <w:spacing w:after="80"/>
      </w:pPr>
      <w:r>
        <w:rPr>
          <w:rFonts w:ascii="Arial" w:cs="Arial" w:eastAsia="Arial" w:hAnsi="Arial"/>
          <w:sz w:val="22"/>
          <w:szCs w:val="22"/>
        </w:rPr>
        <w:t xml:space="preserve">Workflow changes preserve existing state transition integrity</w:t>
      </w:r>
    </w:p>
    <w:p>
      <w:pPr>
        <w:pStyle w:val="ListParagraph"/>
        <w:numPr>
          <w:ilvl w:val="0"/>
          <w:numId w:val="2"/>
        </w:numPr>
        <w:spacing w:after="80"/>
      </w:pPr>
      <w:r>
        <w:rPr>
          <w:rFonts w:ascii="Arial" w:cs="Arial" w:eastAsia="Arial" w:hAnsi="Arial"/>
          <w:sz w:val="22"/>
          <w:szCs w:val="22"/>
        </w:rPr>
        <w:t xml:space="preserve">Rating algorithm changes include actuarial verification gates</w:t>
      </w:r>
    </w:p>
    <w:p>
      <w:pPr>
        <w:pStyle w:val="ListParagraph"/>
        <w:numPr>
          <w:ilvl w:val="0"/>
          <w:numId w:val="2"/>
        </w:numPr>
        <w:spacing w:after="80"/>
      </w:pPr>
      <w:r>
        <w:rPr>
          <w:rFonts w:ascii="Arial" w:cs="Arial" w:eastAsia="Arial" w:hAnsi="Arial"/>
          <w:sz w:val="22"/>
          <w:szCs w:val="22"/>
        </w:rPr>
        <w:t xml:space="preserve">Business rule changes include business analyst sign-off</w:t>
      </w:r>
    </w:p>
    <w:p>
      <w:pPr>
        <w:spacing w:after="200"/>
      </w:pPr>
    </w:p>
    <w:p>
      <w:pPr>
        <w:pStyle w:val="Heading3"/>
      </w:pPr>
      <w:r>
        <w:t xml:space="preserve">4.2.3 Integration Standards</w:t>
      </w:r>
    </w:p>
    <w:p>
      <w:pPr>
        <w:pStyle w:val="ListParagraph"/>
        <w:numPr>
          <w:ilvl w:val="0"/>
          <w:numId w:val="2"/>
        </w:numPr>
        <w:spacing w:after="80"/>
      </w:pPr>
      <w:r>
        <w:rPr>
          <w:rFonts w:ascii="Arial" w:cs="Arial" w:eastAsia="Arial" w:hAnsi="Arial"/>
          <w:sz w:val="22"/>
          <w:szCs w:val="22"/>
        </w:rPr>
        <w:t xml:space="preserve">REST APIs follow Guidewire Cloud API extension patterns</w:t>
      </w:r>
    </w:p>
    <w:p>
      <w:pPr>
        <w:pStyle w:val="ListParagraph"/>
        <w:numPr>
          <w:ilvl w:val="0"/>
          <w:numId w:val="2"/>
        </w:numPr>
        <w:spacing w:after="80"/>
      </w:pPr>
      <w:r>
        <w:rPr>
          <w:rFonts w:ascii="Arial" w:cs="Arial" w:eastAsia="Arial" w:hAnsi="Arial"/>
          <w:sz w:val="22"/>
          <w:szCs w:val="22"/>
        </w:rPr>
        <w:t xml:space="preserve">Message-based integrations use GW message transport with proper retry/DLQ configuration</w:t>
      </w:r>
    </w:p>
    <w:p>
      <w:pPr>
        <w:pStyle w:val="ListParagraph"/>
        <w:numPr>
          <w:ilvl w:val="0"/>
          <w:numId w:val="2"/>
        </w:numPr>
        <w:spacing w:after="80"/>
      </w:pPr>
      <w:r>
        <w:rPr>
          <w:rFonts w:ascii="Arial" w:cs="Arial" w:eastAsia="Arial" w:hAnsi="Arial"/>
          <w:sz w:val="22"/>
          <w:szCs w:val="22"/>
        </w:rPr>
        <w:t xml:space="preserve">External system adapters include circuit breaker and timeout patterns</w:t>
      </w:r>
    </w:p>
    <w:p>
      <w:pPr>
        <w:pStyle w:val="ListParagraph"/>
        <w:numPr>
          <w:ilvl w:val="0"/>
          <w:numId w:val="2"/>
        </w:numPr>
        <w:spacing w:after="80"/>
      </w:pPr>
      <w:r>
        <w:rPr>
          <w:rFonts w:ascii="Arial" w:cs="Arial" w:eastAsia="Arial" w:hAnsi="Arial"/>
          <w:sz w:val="22"/>
          <w:szCs w:val="22"/>
        </w:rPr>
        <w:t xml:space="preserve">All integrations include proper error handling and compensating transaction logic</w:t>
      </w:r>
    </w:p>
    <w:p>
      <w:pPr>
        <w:pStyle w:val="ListParagraph"/>
        <w:numPr>
          <w:ilvl w:val="0"/>
          <w:numId w:val="2"/>
        </w:numPr>
        <w:spacing w:after="80"/>
      </w:pPr>
      <w:r>
        <w:rPr>
          <w:rFonts w:ascii="Arial" w:cs="Arial" w:eastAsia="Arial" w:hAnsi="Arial"/>
          <w:sz w:val="22"/>
          <w:szCs w:val="22"/>
        </w:rPr>
        <w:t xml:space="preserve">API security follows OAuth 2.0/JWT patterns with GW authentication framework</w:t>
      </w:r>
    </w:p>
    <w:p>
      <w:pPr>
        <w:spacing w:after="200"/>
      </w:pPr>
    </w:p>
    <w:p>
      <w:pPr>
        <w:pStyle w:val="Heading2"/>
      </w:pPr>
      <w:r>
        <w:t xml:space="preserve">4.3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60"/>
        <w:gridCol w:w="2800"/>
      </w:tblGrid>
      <w:tr>
        <w:tc>
          <w:tcPr>
            <w:tcW w:type="dxa" w:w="28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1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8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Code Acceptance Rate (first review)</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&gt;70%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 analytics</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Edit Distance (AI output vs merged code)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&lt;15% modification</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Diff analysis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Per sprint</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Code Defect Rate (escaped to SIT)</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&lt;3%</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Defect tracking</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Per sprint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 Code Defect Rate (escaped to UAT)</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&lt;1%</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Defect tracking</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Per release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Code Defect Rate (escaped to Production)</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Incident tracking</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Continuous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Gosu Compilation Success Rate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&gt;95%</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CI/CD pipeline</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Continuous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GUnit Test Coverage (AI code)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&gt;80%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Coverage tools</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Per PR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Security Vulnerability Rate (AI code)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critical/high</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SAST scanning</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Continuous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 Pattern Conformance Rate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&gt;95%</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Architecture review</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Per sprint</w:t>
            </w:r>
          </w:p>
        </w:tc>
      </w:tr>
    </w:tbl>
    <w:p>
      <w:pPr>
        <w:spacing w:after="200"/>
      </w:pPr>
    </w:p>
    <w:p>
      <w:r>
        <w:br w:type="page"/>
      </w:r>
    </w:p>
    <w:p>
      <w:pPr>
        <w:pStyle w:val="Heading1"/>
      </w:pPr>
      <w:r>
        <w:t xml:space="preserve">5. Intellectual Property Ownership &amp; Licensing</w:t>
      </w:r>
    </w:p>
    <w:p>
      <w:pPr>
        <w:pStyle w:val="Heading2"/>
      </w:pPr>
      <w:r>
        <w:t xml:space="preserve">5.1 IP Ownership</w:t>
      </w:r>
    </w:p>
    <w:p>
      <w:pPr>
        <w:spacing w:after="160"/>
      </w:pPr>
      <w:r>
        <w:t xml:space="preserve">Clear IP ownership is essential for insurance platform implementations: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Artifact Type</w:t>
            </w:r>
          </w:p>
        </w:tc>
        <w:tc>
          <w:tcPr>
            <w:tcW w:type="dxa" w:w="1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Ownership</w:t>
            </w:r>
          </w:p>
        </w:tc>
        <w:tc>
          <w:tcPr>
            <w:tcW w:type="dxa" w:w="53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AI-Generated Gosu Code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Client-owned</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Gosu code generated for this engagement, whether AI-assisted or fully human-written, is work-for-hire owned by the client under the services agreement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AI-Generated Configuration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Client-owned</w:t>
            </w:r>
          </w:p>
        </w:tc>
        <w:tc>
          <w:tcPr>
            <w:tcW w:type="dxa" w:w="5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All PolicyCenter, ClaimCenter, BillingCenter configuration including product models, rules, and workflows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AI-Generated Integration Code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Client-owned</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API adapters, message handlers, and ETL code produced for client-specific integrations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AI-Generated Tests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Client-owned</w:t>
            </w:r>
          </w:p>
        </w:tc>
        <w:tc>
          <w:tcPr>
            <w:tcW w:type="dxa" w:w="5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All GUnit tests, integration tests, and test data generators created for this engagement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Prompt Templates</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Consultant-owned</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Generic prompt templates and agent configurations are retained as consultant methodological IP; client-specific prompts are owned by client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 Agent Configurations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Consultant-owned</w:t>
            </w:r>
          </w:p>
        </w:tc>
        <w:tc>
          <w:tcPr>
            <w:tcW w:type="dxa" w:w="5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Base agent configurations representing consultant’s methodology; client-specific customizations are client-owned</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Guidewire Platform Code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Guidewire-owned</w:t>
            </w:r>
          </w:p>
        </w:tc>
        <w:tc>
          <w:tcPr>
            <w:tcW w:type="dxa" w:w="5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base Guidewire InsuranceSuite code remains Guidewire’s IP per the client’s Guidewire license</w:t>
            </w:r>
          </w:p>
        </w:tc>
      </w:tr>
    </w:tbl>
    <w:p>
      <w:pPr>
        <w:spacing w:after="200"/>
      </w:pPr>
    </w:p>
    <w:p>
      <w:pPr>
        <w:pStyle w:val="Heading2"/>
      </w:pPr>
      <w:r>
        <w:t xml:space="preserve">5.2 Open Source &amp; License Compliance</w:t>
      </w:r>
    </w:p>
    <w:p>
      <w:pPr>
        <w:spacing w:after="160"/>
      </w:pPr>
      <w:r>
        <w:t xml:space="preserve">AI-generated code risks introducing unlicensed or copyleft-contaminated dependencies:</w:t>
      </w:r>
    </w:p>
    <w:p>
      <w:pPr>
        <w:spacing w:after="200"/>
      </w:pPr>
    </w:p>
    <w:p>
      <w:pPr>
        <w:pStyle w:val="ListParagraph"/>
        <w:numPr>
          <w:ilvl w:val="0"/>
          <w:numId w:val="2"/>
        </w:numPr>
        <w:spacing w:after="80"/>
      </w:pPr>
      <w:r>
        <w:rPr>
          <w:rFonts w:ascii="Arial" w:cs="Arial" w:eastAsia="Arial" w:hAnsi="Arial"/>
          <w:b/>
          <w:bCs/>
          <w:sz w:val="22"/>
          <w:szCs w:val="22"/>
        </w:rPr>
        <w:t xml:space="preserve">Approved License Whitelist: </w:t>
      </w:r>
      <w:r>
        <w:rPr>
          <w:rFonts w:ascii="Arial" w:cs="Arial" w:eastAsia="Arial" w:hAnsi="Arial"/>
          <w:sz w:val="22"/>
          <w:szCs w:val="22"/>
        </w:rPr>
        <w:t xml:space="preserve">MIT, Apache 2.0, BSD 2-Clause, BSD 3-Clause, ISC. All other licenses require Legal review before inclusion.</w:t>
      </w:r>
    </w:p>
    <w:p>
      <w:pPr>
        <w:pStyle w:val="ListParagraph"/>
        <w:numPr>
          <w:ilvl w:val="0"/>
          <w:numId w:val="2"/>
        </w:numPr>
        <w:spacing w:after="80"/>
      </w:pPr>
      <w:r>
        <w:rPr>
          <w:rFonts w:ascii="Arial" w:cs="Arial" w:eastAsia="Arial" w:hAnsi="Arial"/>
          <w:b/>
          <w:bCs/>
          <w:sz w:val="22"/>
          <w:szCs w:val="22"/>
        </w:rPr>
        <w:t xml:space="preserve">Prohibited Licenses: </w:t>
      </w:r>
      <w:r>
        <w:rPr>
          <w:rFonts w:ascii="Arial" w:cs="Arial" w:eastAsia="Arial" w:hAnsi="Arial"/>
          <w:sz w:val="22"/>
          <w:szCs w:val="22"/>
        </w:rPr>
        <w:t xml:space="preserve">GPL v2/v3, LGPL, AGPL, SSPL, Commons Clause, any copyleft license that could contaminate client IP or conflict with Guidewire licensing.</w:t>
      </w:r>
    </w:p>
    <w:p>
      <w:pPr>
        <w:pStyle w:val="ListParagraph"/>
        <w:numPr>
          <w:ilvl w:val="0"/>
          <w:numId w:val="2"/>
        </w:numPr>
        <w:spacing w:after="80"/>
      </w:pPr>
      <w:r>
        <w:rPr>
          <w:rFonts w:ascii="Arial" w:cs="Arial" w:eastAsia="Arial" w:hAnsi="Arial"/>
          <w:b/>
          <w:bCs/>
          <w:sz w:val="22"/>
          <w:szCs w:val="22"/>
        </w:rPr>
        <w:t xml:space="preserve">Automated Scanning: </w:t>
      </w:r>
      <w:r>
        <w:rPr>
          <w:rFonts w:ascii="Arial" w:cs="Arial" w:eastAsia="Arial" w:hAnsi="Arial"/>
          <w:sz w:val="22"/>
          <w:szCs w:val="22"/>
        </w:rPr>
        <w:t xml:space="preserve">Every AI-generated code artifact passes through license scanning (FOSSA/Scancode) in the CI/CD pipeline. Build fails on prohibited license detection.</w:t>
      </w:r>
    </w:p>
    <w:p>
      <w:pPr>
        <w:pStyle w:val="ListParagraph"/>
        <w:numPr>
          <w:ilvl w:val="0"/>
          <w:numId w:val="2"/>
        </w:numPr>
        <w:spacing w:after="80"/>
      </w:pPr>
      <w:r>
        <w:rPr>
          <w:rFonts w:ascii="Arial" w:cs="Arial" w:eastAsia="Arial" w:hAnsi="Arial"/>
          <w:b/>
          <w:bCs/>
          <w:sz w:val="22"/>
          <w:szCs w:val="22"/>
        </w:rPr>
        <w:t xml:space="preserve">Dependency Allow-List: </w:t>
      </w:r>
      <w:r>
        <w:rPr>
          <w:rFonts w:ascii="Arial" w:cs="Arial" w:eastAsia="Arial" w:hAnsi="Arial"/>
          <w:sz w:val="22"/>
          <w:szCs w:val="22"/>
        </w:rPr>
        <w:t xml:space="preserve">AI agents are constrained to suggest only pre-approved dependencies. The Guidewire dependency allow-list is maintained by the Architecture team and updated quarterly.</w:t>
      </w:r>
    </w:p>
    <w:p>
      <w:pPr>
        <w:pStyle w:val="ListParagraph"/>
        <w:numPr>
          <w:ilvl w:val="0"/>
          <w:numId w:val="2"/>
        </w:numPr>
        <w:spacing w:after="80"/>
      </w:pPr>
      <w:r>
        <w:rPr>
          <w:rFonts w:ascii="Arial" w:cs="Arial" w:eastAsia="Arial" w:hAnsi="Arial"/>
          <w:b/>
          <w:bCs/>
          <w:sz w:val="22"/>
          <w:szCs w:val="22"/>
        </w:rPr>
        <w:t xml:space="preserve">Code Provenance: </w:t>
      </w:r>
      <w:r>
        <w:rPr>
          <w:rFonts w:ascii="Arial" w:cs="Arial" w:eastAsia="Arial" w:hAnsi="Arial"/>
          <w:sz w:val="22"/>
          <w:szCs w:val="22"/>
        </w:rPr>
        <w:t xml:space="preserve">All AI-generated code carries provenance metadata in commit messages: [AI-ASSISTED] tag, agent ID, and timestamp. This enables full traceability.</w:t>
      </w:r>
    </w:p>
    <w:p>
      <w:pPr>
        <w:spacing w:after="200"/>
      </w:pPr>
    </w:p>
    <w:p>
      <w:pPr>
        <w:pStyle w:val="Heading2"/>
      </w:pPr>
      <w:r>
        <w:t xml:space="preserve">5.3 Guidewire Licensing Considerations</w:t>
      </w:r>
    </w:p>
    <w:p>
      <w:pPr>
        <w:pStyle w:val="ListParagraph"/>
        <w:numPr>
          <w:ilvl w:val="0"/>
          <w:numId w:val="2"/>
        </w:numPr>
        <w:spacing w:after="80"/>
      </w:pPr>
      <w:r>
        <w:rPr>
          <w:rFonts w:ascii="Arial" w:cs="Arial" w:eastAsia="Arial" w:hAnsi="Arial"/>
          <w:sz w:val="22"/>
          <w:szCs w:val="22"/>
        </w:rPr>
        <w:t xml:space="preserve">AI-generated code that extends Guidewire must comply with the client’s Guidewire license terms</w:t>
      </w:r>
    </w:p>
    <w:p>
      <w:pPr>
        <w:pStyle w:val="ListParagraph"/>
        <w:numPr>
          <w:ilvl w:val="0"/>
          <w:numId w:val="2"/>
        </w:numPr>
        <w:spacing w:after="80"/>
      </w:pPr>
      <w:r>
        <w:rPr>
          <w:rFonts w:ascii="Arial" w:cs="Arial" w:eastAsia="Arial" w:hAnsi="Arial"/>
          <w:sz w:val="22"/>
          <w:szCs w:val="22"/>
        </w:rPr>
        <w:t xml:space="preserve">No Guidewire proprietary source code is included in AI prompts or training data</w:t>
      </w:r>
    </w:p>
    <w:p>
      <w:pPr>
        <w:pStyle w:val="ListParagraph"/>
        <w:numPr>
          <w:ilvl w:val="0"/>
          <w:numId w:val="2"/>
        </w:numPr>
        <w:spacing w:after="80"/>
      </w:pPr>
      <w:r>
        <w:rPr>
          <w:rFonts w:ascii="Arial" w:cs="Arial" w:eastAsia="Arial" w:hAnsi="Arial"/>
          <w:sz w:val="22"/>
          <w:szCs w:val="22"/>
        </w:rPr>
        <w:t xml:space="preserve">AI agents reference only publicly available Guidewire documentation and API specifications</w:t>
      </w:r>
    </w:p>
    <w:p>
      <w:pPr>
        <w:pStyle w:val="ListParagraph"/>
        <w:numPr>
          <w:ilvl w:val="0"/>
          <w:numId w:val="2"/>
        </w:numPr>
        <w:spacing w:after="80"/>
      </w:pPr>
      <w:r>
        <w:rPr>
          <w:rFonts w:ascii="Arial" w:cs="Arial" w:eastAsia="Arial" w:hAnsi="Arial"/>
          <w:sz w:val="22"/>
          <w:szCs w:val="22"/>
        </w:rPr>
        <w:t xml:space="preserve">Custom code follows Guidewire’s recommended extension patterns to preserve upgrade compatibility</w:t>
      </w:r>
    </w:p>
    <w:p>
      <w:pPr>
        <w:pStyle w:val="ListParagraph"/>
        <w:numPr>
          <w:ilvl w:val="0"/>
          <w:numId w:val="2"/>
        </w:numPr>
        <w:spacing w:after="80"/>
      </w:pPr>
      <w:r>
        <w:rPr>
          <w:rFonts w:ascii="Arial" w:cs="Arial" w:eastAsia="Arial" w:hAnsi="Arial"/>
          <w:sz w:val="22"/>
          <w:szCs w:val="22"/>
        </w:rPr>
        <w:t xml:space="preserve">All generated code is compatible with the client’s licensed Guidewire version and edition</w:t>
      </w:r>
    </w:p>
    <w:p>
      <w:pPr>
        <w:spacing w:after="200"/>
      </w:pPr>
    </w:p>
    <w:p>
      <w:r>
        <w:br w:type="page"/>
      </w:r>
    </w:p>
    <w:p>
      <w:pPr>
        <w:pStyle w:val="Heading1"/>
      </w:pPr>
      <w:r>
        <w:t xml:space="preserve">6. Regulatory Compliance</w:t>
      </w:r>
    </w:p>
    <w:p>
      <w:pPr>
        <w:spacing w:after="160"/>
      </w:pPr>
      <w:r>
        <w:t xml:space="preserve">Insurance implementations require compliance with multiple overlapping regulatory frameworks. This section maps AI governance controls to specific regulatory requirements.</w:t>
      </w:r>
    </w:p>
    <w:p>
      <w:pPr>
        <w:spacing w:after="200"/>
      </w:pPr>
    </w:p>
    <w:p>
      <w:pPr>
        <w:pStyle w:val="Heading2"/>
      </w:pPr>
      <w:r>
        <w:t xml:space="preserve">6.1 SOX Compliance (IT General Controls)</w:t>
      </w:r>
    </w:p>
    <w:p>
      <w:pPr>
        <w:spacing w:after="160"/>
      </w:pPr>
      <w:r>
        <w:t xml:space="preserve">For publicly traded insurance carriers, SOX IT General Controls apply to all systems that support financial reporting, including Guidewire BillingCenter and PolicyCenter premium calculations.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SOX ITGC Domain</w:t>
            </w:r>
          </w:p>
        </w:tc>
        <w:tc>
          <w:tcPr>
            <w:tcW w:type="dxa" w:w="30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8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AI Governance Control</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Access to Programs &amp; Data</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Restrict and monitor access to application code</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tool access requires named user accounts with MFA; role-based permissions; access reviews quarterly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Program Changes</w:t>
            </w:r>
          </w:p>
        </w:tc>
        <w:tc>
          <w:tcPr>
            <w:tcW w:type="dxa" w:w="30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All changes to applications must be authorized, tested, and approved</w:t>
            </w:r>
          </w:p>
        </w:tc>
        <w:tc>
          <w:tcPr>
            <w:tcW w:type="dxa" w:w="40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 code passes full validation pipeline; mandatory human review; change advisory board approval for production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Program Development</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New applications and modifications follow a defined SDLC</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This governance framework serves as the SDLC addendum for AI-assisted development; all standard SDLC gates apply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Computer Operations</w:t>
            </w:r>
          </w:p>
        </w:tc>
        <w:tc>
          <w:tcPr>
            <w:tcW w:type="dxa" w:w="30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Ensure completeness and accuracy of processing</w:t>
            </w:r>
          </w:p>
        </w:tc>
        <w:tc>
          <w:tcPr>
            <w:tcW w:type="dxa" w:w="40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AI-generated batch processes and calculations include reconciliation checks; output validation against expected results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Segregation of Duties</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Developers cannot promote their own code to production</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AI-generated code follows same SoD controls: developer generates, reviewer approves, release manager deploys</w:t>
            </w:r>
          </w:p>
        </w:tc>
      </w:tr>
    </w:tbl>
    <w:p>
      <w:pPr>
        <w:spacing w:after="200"/>
      </w:pPr>
    </w:p>
    <w:p>
      <w:pPr>
        <w:pStyle w:val="Heading2"/>
      </w:pPr>
      <w:r>
        <w:t xml:space="preserve">6.2 HIPAA Technical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HIPAA Requirement</w:t>
            </w:r>
          </w:p>
        </w:tc>
        <w:tc>
          <w:tcPr>
            <w:tcW w:type="dxa" w:w="28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3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AI Governance Control</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Access Control (164.312(a))</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Unique user identification, emergency access, automatic logoff, encryption</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Named AI tool accounts; session timeouts; encrypted API communication; no PHI in AI context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Audit Controls (164.312(b))</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Record and examine access to ePHI</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Immutable audit log of all AI interactions; no ePHI enters system; audit logs retained 6 years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Integrity (164.312(c))</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Protect ePHI from improper alteration</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cannot access or modify production data; all code changes go through validated pipeline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Transmission Security (164.312(e))</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Guard against unauthorized access during transmission</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 API calls use TLS 1.3; no PHI transmitted; context sanitization prevents accidental inclusion</w:t>
            </w:r>
          </w:p>
        </w:tc>
      </w:tr>
    </w:tbl>
    <w:p>
      <w:pPr>
        <w:spacing w:after="200"/>
      </w:pPr>
    </w:p>
    <w:p>
      <w:pPr>
        <w:pStyle w:val="Heading2"/>
      </w:pPr>
      <w:r>
        <w:t xml:space="preserve">6.3 State Insurance Regulatory Requirements</w:t>
      </w:r>
    </w:p>
    <w:p>
      <w:pPr>
        <w:spacing w:after="160"/>
      </w:pPr>
      <w:r>
        <w:t xml:space="preserve">AI-generated code for rate calculations, underwriting rules, and claims adjudication must comply with state insurance department regulations:</w:t>
      </w:r>
    </w:p>
    <w:p>
      <w:pPr>
        <w:pStyle w:val="ListParagraph"/>
        <w:numPr>
          <w:ilvl w:val="0"/>
          <w:numId w:val="2"/>
        </w:numPr>
        <w:spacing w:after="80"/>
      </w:pPr>
      <w:r>
        <w:rPr>
          <w:rFonts w:ascii="Arial" w:cs="Arial" w:eastAsia="Arial" w:hAnsi="Arial"/>
          <w:sz w:val="22"/>
          <w:szCs w:val="22"/>
        </w:rPr>
        <w:t xml:space="preserve">Rating algorithm code requires actuarial sign-off regardless of whether AI-assisted or human-written</w:t>
      </w:r>
    </w:p>
    <w:p>
      <w:pPr>
        <w:pStyle w:val="ListParagraph"/>
        <w:numPr>
          <w:ilvl w:val="0"/>
          <w:numId w:val="2"/>
        </w:numPr>
        <w:spacing w:after="80"/>
      </w:pPr>
      <w:r>
        <w:rPr>
          <w:rFonts w:ascii="Arial" w:cs="Arial" w:eastAsia="Arial" w:hAnsi="Arial"/>
          <w:sz w:val="22"/>
          <w:szCs w:val="22"/>
        </w:rPr>
        <w:t xml:space="preserve">Underwriting rule changes follow the same regulatory filing process as manually developed rules</w:t>
      </w:r>
    </w:p>
    <w:p>
      <w:pPr>
        <w:pStyle w:val="ListParagraph"/>
        <w:numPr>
          <w:ilvl w:val="0"/>
          <w:numId w:val="2"/>
        </w:numPr>
        <w:spacing w:after="80"/>
      </w:pPr>
      <w:r>
        <w:rPr>
          <w:rFonts w:ascii="Arial" w:cs="Arial" w:eastAsia="Arial" w:hAnsi="Arial"/>
          <w:sz w:val="22"/>
          <w:szCs w:val="22"/>
        </w:rPr>
        <w:t xml:space="preserve">Claims adjudication logic changes require compliance review against state unfair claims settlement practices acts</w:t>
      </w:r>
    </w:p>
    <w:p>
      <w:pPr>
        <w:pStyle w:val="ListParagraph"/>
        <w:numPr>
          <w:ilvl w:val="0"/>
          <w:numId w:val="2"/>
        </w:numPr>
        <w:spacing w:after="80"/>
      </w:pPr>
      <w:r>
        <w:rPr>
          <w:rFonts w:ascii="Arial" w:cs="Arial" w:eastAsia="Arial" w:hAnsi="Arial"/>
          <w:sz w:val="22"/>
          <w:szCs w:val="22"/>
        </w:rPr>
        <w:t xml:space="preserve">AI-generated code is subject to the same market conduct examination standards as all other system code</w:t>
      </w:r>
    </w:p>
    <w:p>
      <w:pPr>
        <w:pStyle w:val="ListParagraph"/>
        <w:numPr>
          <w:ilvl w:val="0"/>
          <w:numId w:val="2"/>
        </w:numPr>
        <w:spacing w:after="80"/>
      </w:pPr>
      <w:r>
        <w:rPr>
          <w:rFonts w:ascii="Arial" w:cs="Arial" w:eastAsia="Arial" w:hAnsi="Arial"/>
          <w:sz w:val="22"/>
          <w:szCs w:val="22"/>
        </w:rPr>
        <w:t xml:space="preserve">Automated decision-making transparency: any AI-assisted logic that impacts policyholder outcomes must be explainable and documented</w:t>
      </w:r>
    </w:p>
    <w:p>
      <w:pPr>
        <w:spacing w:after="200"/>
      </w:pPr>
    </w:p>
    <w:p>
      <w:pPr>
        <w:pStyle w:val="Heading2"/>
      </w:pPr>
      <w:r>
        <w:t xml:space="preserve">6.4 Compliance Attestation</w:t>
      </w:r>
    </w:p>
    <w:p>
      <w:pPr>
        <w:spacing w:after="160"/>
      </w:pPr>
      <w:r>
        <w:t xml:space="preserve">The following attestation is provided with each release containing AI-assisted code:</w:t>
      </w:r>
    </w:p>
    <w:p>
      <w:pPr>
        <w:spacing w:after="200"/>
      </w:pPr>
    </w:p>
    <w:p>
      <w:pPr>
        <w:pBdr>
          <w:left w:val="single" w:color="00529B" w:sz="12" w:space="8"/>
        </w:pBdr>
        <w:spacing w:after="160"/>
        <w:ind w:left="720" w:right="720"/>
      </w:pPr>
      <w:r>
        <w:rPr>
          <w:rFonts w:ascii="Arial" w:cs="Arial" w:eastAsia="Arial" w:hAnsi="Arial"/>
          <w:i/>
          <w:iCs/>
          <w:sz w:val="20"/>
          <w:szCs w:val="20"/>
        </w:rPr>
        <w:t xml:space="preserve">ATTESTATION: All AI-assisted code included in Release [X.X] has been (a) reviewed by a qualified human developer, (b) validated through the complete quality pipeline including security scanning, (c) verified to contain no policyholder PII or PHI, (d) scanned for open-source license compliance, and (e) approved through the standard change management process. The AI tools used comply with our data protection commitments and no client data was used for AI model training.</w:t>
      </w:r>
    </w:p>
    <w:p>
      <w:pPr>
        <w:spacing w:after="200"/>
      </w:pPr>
    </w:p>
    <w:p>
      <w:r>
        <w:br w:type="page"/>
      </w:r>
    </w:p>
    <w:p>
      <w:pPr>
        <w:pStyle w:val="Heading1"/>
      </w:pPr>
      <w:r>
        <w:t xml:space="preserve">7. Governance Structure &amp; Accountability</w:t>
      </w:r>
    </w:p>
    <w:p>
      <w:pPr>
        <w:pStyle w:val="Heading2"/>
      </w:pPr>
      <w:r>
        <w:t xml:space="preserve">7.1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1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AI Governance Responsibility</w:t>
            </w:r>
          </w:p>
        </w:tc>
        <w:tc>
          <w:tcPr>
            <w:tcW w:type="dxa" w:w="30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Accountability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Engagement Architect</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Overall AI governance enforcement; agent configuration approval; risk assessment ownership</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Accountable for governance compliance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Guidewire Lead Developer</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Code review of all AI outputs; Guidewire pattern conformance; quality gate enforcement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Accountable for code quality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QA Lead</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Test validation for AI-generated tests; mutation testing; defect tracking</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Accountable for test effectiveness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Security / Compliance Lead</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PII prevention audit; SAST oversight; regulatory mapping; incident response</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Accountable for data protection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 Technical Lead</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Approval of AI tool usage; access to governance reports; escalation point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Client-side governance oversight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 Compliance Officer</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Regulatory compliance verification; audit participation; attestation review</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Client-side compliance authority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Release Manager</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Verification of AI governance gates before production deployment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Accountable for release compliance</w:t>
            </w:r>
          </w:p>
        </w:tc>
      </w:tr>
    </w:tbl>
    <w:p>
      <w:pPr>
        <w:spacing w:after="200"/>
      </w:pPr>
    </w:p>
    <w:p>
      <w:pPr>
        <w:pStyle w:val="Heading2"/>
      </w:pPr>
      <w:r>
        <w:t xml:space="preserve">7.2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000"/>
        <w:gridCol w:w="1200"/>
        <w:gridCol w:w="2360"/>
      </w:tblGrid>
      <w:tr>
        <w:tc>
          <w:tcPr>
            <w:tcW w:type="dxa" w:w="24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Architect</w:t>
            </w:r>
          </w:p>
        </w:tc>
        <w:tc>
          <w:tcPr>
            <w:tcW w:type="dxa" w:w="1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GW Dev</w:t>
            </w:r>
          </w:p>
        </w:tc>
        <w:tc>
          <w:tcPr>
            <w:tcW w:type="dxa" w:w="10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QA</w:t>
            </w:r>
          </w:p>
        </w:tc>
        <w:tc>
          <w:tcPr>
            <w:tcW w:type="dxa" w:w="1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Security</w:t>
            </w:r>
          </w:p>
        </w:tc>
        <w:tc>
          <w:tcPr>
            <w:tcW w:type="dxa" w:w="23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Agent Configuration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Context Sanitization</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Code Generation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Code Review (AI Output)</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Scan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GUnit Test Validation</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License Compliance Check</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Production Release Approval</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Reporting</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Incident Response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w:t>
            </w:r>
          </w:p>
        </w:tc>
      </w:tr>
    </w:tbl>
    <w:p>
      <w:pPr>
        <w:spacing w:after="200"/>
      </w:pPr>
    </w:p>
    <w:p>
      <w:r>
        <w:br w:type="page"/>
      </w:r>
    </w:p>
    <w:p>
      <w:pPr>
        <w:pStyle w:val="Heading1"/>
      </w:pPr>
      <w:r>
        <w:t xml:space="preserve">8. Audit Trail &amp; Monitoring</w:t>
      </w:r>
    </w:p>
    <w:p>
      <w:pPr>
        <w:pStyle w:val="Heading2"/>
      </w:pPr>
      <w:r>
        <w:t xml:space="preserve">8.1 Audit Log Requirements</w:t>
      </w:r>
    </w:p>
    <w:p>
      <w:pPr>
        <w:spacing w:after="160"/>
      </w:pPr>
      <w:r>
        <w:t xml:space="preserve">Every AI-assisted development activity generates an immutable audit record: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Audit Field</w:t>
            </w:r>
          </w:p>
        </w:tc>
        <w:tc>
          <w:tcPr>
            <w:tcW w:type="dxa" w:w="45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UTC timestamp of AI interaction</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 years (SOX) / 6 years (HIPAA)</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Developer ID</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Named user who initiated the AI request</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ID &amp; Version</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Which AI agent was used and its configuration version</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Prompt Submitted</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Full text of the prompt (verified PII-free by scanner)</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Context Provided</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Summary of context window contents with classification tags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 Output</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Full text of AI-generated response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Human Decision</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Accepted / Modified / Rejected with reviewer ID</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Modifications Made</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Diff between AI output and final committed code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Quality Gate Results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Pass/fail status for each validation pipeline stage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As above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PII Scan Result</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Confirmation that no PII was detected in context or output</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As above</w:t>
            </w:r>
          </w:p>
        </w:tc>
      </w:tr>
    </w:tbl>
    <w:p>
      <w:pPr>
        <w:spacing w:after="200"/>
      </w:pPr>
    </w:p>
    <w:p>
      <w:pPr>
        <w:pStyle w:val="Heading2"/>
      </w:pPr>
      <w:r>
        <w:t xml:space="preserve">8.2 Monitoring Dashboard</w:t>
      </w:r>
    </w:p>
    <w:p>
      <w:pPr>
        <w:spacing w:after="160"/>
      </w:pPr>
      <w:r>
        <w:t xml:space="preserve">A real-time governance dashboard provides visibility to both project team and client stakeholders:</w:t>
      </w:r>
    </w:p>
    <w:p>
      <w:pPr>
        <w:pStyle w:val="ListParagraph"/>
        <w:numPr>
          <w:ilvl w:val="0"/>
          <w:numId w:val="2"/>
        </w:numPr>
        <w:spacing w:after="80"/>
      </w:pPr>
      <w:r>
        <w:rPr>
          <w:rFonts w:ascii="Arial" w:cs="Arial" w:eastAsia="Arial" w:hAnsi="Arial"/>
          <w:sz w:val="22"/>
          <w:szCs w:val="22"/>
        </w:rPr>
        <w:t xml:space="preserve">AI usage metrics: daily/weekly generation volume, tokens consumed, cost tracking</w:t>
      </w:r>
    </w:p>
    <w:p>
      <w:pPr>
        <w:pStyle w:val="ListParagraph"/>
        <w:numPr>
          <w:ilvl w:val="0"/>
          <w:numId w:val="2"/>
        </w:numPr>
        <w:spacing w:after="80"/>
      </w:pPr>
      <w:r>
        <w:rPr>
          <w:rFonts w:ascii="Arial" w:cs="Arial" w:eastAsia="Arial" w:hAnsi="Arial"/>
          <w:sz w:val="22"/>
          <w:szCs w:val="22"/>
        </w:rPr>
        <w:t xml:space="preserve">Quality metrics: acceptance rate, edit distance, defect escape rate, compilation success rate</w:t>
      </w:r>
    </w:p>
    <w:p>
      <w:pPr>
        <w:pStyle w:val="ListParagraph"/>
        <w:numPr>
          <w:ilvl w:val="0"/>
          <w:numId w:val="2"/>
        </w:numPr>
        <w:spacing w:after="80"/>
      </w:pPr>
      <w:r>
        <w:rPr>
          <w:rFonts w:ascii="Arial" w:cs="Arial" w:eastAsia="Arial" w:hAnsi="Arial"/>
          <w:sz w:val="22"/>
          <w:szCs w:val="22"/>
        </w:rPr>
        <w:t xml:space="preserve">Security metrics: PII scan results, vulnerability scan results, license compliance status</w:t>
      </w:r>
    </w:p>
    <w:p>
      <w:pPr>
        <w:pStyle w:val="ListParagraph"/>
        <w:numPr>
          <w:ilvl w:val="0"/>
          <w:numId w:val="2"/>
        </w:numPr>
        <w:spacing w:after="80"/>
      </w:pPr>
      <w:r>
        <w:rPr>
          <w:rFonts w:ascii="Arial" w:cs="Arial" w:eastAsia="Arial" w:hAnsi="Arial"/>
          <w:sz w:val="22"/>
          <w:szCs w:val="22"/>
        </w:rPr>
        <w:t xml:space="preserve">Compliance metrics: audit trail completeness, human review coverage, governance gate pass rates</w:t>
      </w:r>
    </w:p>
    <w:p>
      <w:pPr>
        <w:pStyle w:val="ListParagraph"/>
        <w:numPr>
          <w:ilvl w:val="0"/>
          <w:numId w:val="2"/>
        </w:numPr>
        <w:spacing w:after="80"/>
      </w:pPr>
      <w:r>
        <w:rPr>
          <w:rFonts w:ascii="Arial" w:cs="Arial" w:eastAsia="Arial" w:hAnsi="Arial"/>
          <w:sz w:val="22"/>
          <w:szCs w:val="22"/>
        </w:rPr>
        <w:t xml:space="preserve">Anomaly alerts: unusual AI usage patterns, quality degradation trends, unauthorized access attempts</w:t>
      </w:r>
    </w:p>
    <w:p>
      <w:pPr>
        <w:spacing w:after="200"/>
      </w:pPr>
    </w:p>
    <w:p>
      <w:pPr>
        <w:pStyle w:val="Heading2"/>
      </w:pPr>
      <w:r>
        <w:t xml:space="preserve">8.3 Client Access</w:t>
      </w:r>
    </w:p>
    <w:p>
      <w:pPr>
        <w:spacing w:after="160"/>
      </w:pPr>
      <w:r>
        <w:t xml:space="preserve">The client is provided with:</w:t>
      </w:r>
    </w:p>
    <w:p>
      <w:pPr>
        <w:pStyle w:val="ListParagraph"/>
        <w:numPr>
          <w:ilvl w:val="0"/>
          <w:numId w:val="2"/>
        </w:numPr>
        <w:spacing w:after="80"/>
      </w:pPr>
      <w:r>
        <w:rPr>
          <w:rFonts w:ascii="Arial" w:cs="Arial" w:eastAsia="Arial" w:hAnsi="Arial"/>
          <w:sz w:val="22"/>
          <w:szCs w:val="22"/>
        </w:rPr>
        <w:t xml:space="preserve">Read-only access to the governance dashboard</w:t>
      </w:r>
    </w:p>
    <w:p>
      <w:pPr>
        <w:pStyle w:val="ListParagraph"/>
        <w:numPr>
          <w:ilvl w:val="0"/>
          <w:numId w:val="2"/>
        </w:numPr>
        <w:spacing w:after="80"/>
      </w:pPr>
      <w:r>
        <w:rPr>
          <w:rFonts w:ascii="Arial" w:cs="Arial" w:eastAsia="Arial" w:hAnsi="Arial"/>
          <w:sz w:val="22"/>
          <w:szCs w:val="22"/>
        </w:rPr>
        <w:t xml:space="preserve">Weekly AI governance summary report (automated)</w:t>
      </w:r>
    </w:p>
    <w:p>
      <w:pPr>
        <w:pStyle w:val="ListParagraph"/>
        <w:numPr>
          <w:ilvl w:val="0"/>
          <w:numId w:val="2"/>
        </w:numPr>
        <w:spacing w:after="80"/>
      </w:pPr>
      <w:r>
        <w:rPr>
          <w:rFonts w:ascii="Arial" w:cs="Arial" w:eastAsia="Arial" w:hAnsi="Arial"/>
          <w:sz w:val="22"/>
          <w:szCs w:val="22"/>
        </w:rPr>
        <w:t xml:space="preserve">Monthly detailed governance review meeting</w:t>
      </w:r>
    </w:p>
    <w:p>
      <w:pPr>
        <w:pStyle w:val="ListParagraph"/>
        <w:numPr>
          <w:ilvl w:val="0"/>
          <w:numId w:val="2"/>
        </w:numPr>
        <w:spacing w:after="80"/>
      </w:pPr>
      <w:r>
        <w:rPr>
          <w:rFonts w:ascii="Arial" w:cs="Arial" w:eastAsia="Arial" w:hAnsi="Arial"/>
          <w:sz w:val="22"/>
          <w:szCs w:val="22"/>
        </w:rPr>
        <w:t xml:space="preserve">On-demand audit trail export for regulatory examinations</w:t>
      </w:r>
    </w:p>
    <w:p>
      <w:pPr>
        <w:pStyle w:val="ListParagraph"/>
        <w:numPr>
          <w:ilvl w:val="0"/>
          <w:numId w:val="2"/>
        </w:numPr>
        <w:spacing w:after="80"/>
      </w:pPr>
      <w:r>
        <w:rPr>
          <w:rFonts w:ascii="Arial" w:cs="Arial" w:eastAsia="Arial" w:hAnsi="Arial"/>
          <w:sz w:val="22"/>
          <w:szCs w:val="22"/>
        </w:rPr>
        <w:t xml:space="preserve">Immediate notification of any P1/P2 AI-related incidents</w:t>
      </w:r>
    </w:p>
    <w:p>
      <w:pPr>
        <w:spacing w:after="200"/>
      </w:pPr>
    </w:p>
    <w:p>
      <w:r>
        <w:br w:type="page"/>
      </w:r>
    </w:p>
    <w:p>
      <w:pPr>
        <w:pStyle w:val="Heading1"/>
      </w:pPr>
      <w:r>
        <w:t xml:space="preserve">9. Incident Response</w:t>
      </w:r>
    </w:p>
    <w:p>
      <w:pPr>
        <w:pStyle w:val="Heading2"/>
      </w:pPr>
      <w:r>
        <w:t xml:space="preserve">9.1 AI-Specific Incident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1200"/>
        <w:gridCol w:w="2960"/>
      </w:tblGrid>
      <w:tr>
        <w:tc>
          <w:tcPr>
            <w:tcW w:type="dxa" w:w="1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c>
          <w:tcPr>
            <w:tcW w:type="dxa" w:w="29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Client Notification</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Exposure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detected in AI context after submission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P1 - CRITICAL</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&lt; 1 hour</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Immediate</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Production Defect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AI-generated code causes production issue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&lt; 1 hour</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Vulnerability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code introduces exploitable vulnerability</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P1 - CRITICAL</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&lt; 2 hours</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Within 4 hours</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License Violation</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Copyleft or prohibited license detected in AI output</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P2 - HIGH</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&lt; 4 hours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Within 24 hours</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Quality Escape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defect reaches UAT/SIT</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P3 - MEDIUM</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&lt; 24 hours</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Weekly report</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Compliance Gap</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Governance control found ineffective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P3 - MEDIUM</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&lt; 24 hours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Monthly review</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Quality Degradation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output quality drops below thresholds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P4 - LOW</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Next sprint</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Monthly review</w:t>
            </w:r>
          </w:p>
        </w:tc>
      </w:tr>
    </w:tbl>
    <w:p>
      <w:pPr>
        <w:spacing w:after="200"/>
      </w:pPr>
    </w:p>
    <w:p>
      <w:pPr>
        <w:pStyle w:val="Heading2"/>
      </w:pPr>
      <w:r>
        <w:t xml:space="preserve">9.2 PII Exposure Response Protocol</w:t>
      </w:r>
    </w:p>
    <w:p>
      <w:pPr>
        <w:spacing w:after="160"/>
      </w:pPr>
      <w:r>
        <w:t xml:space="preserve">If PII is detected in AI context (highest severity incident):</w:t>
      </w:r>
    </w:p>
    <w:p>
      <w:pPr>
        <w:spacing w:after="200"/>
      </w:pPr>
    </w:p>
    <w:p>
      <w:pPr>
        <w:pStyle w:val="ListParagraph"/>
        <w:numPr>
          <w:ilvl w:val="0"/>
          <w:numId w:val="2"/>
        </w:numPr>
        <w:spacing w:after="80"/>
      </w:pPr>
      <w:r>
        <w:rPr>
          <w:rFonts w:ascii="Arial" w:cs="Arial" w:eastAsia="Arial" w:hAnsi="Arial"/>
          <w:b/>
          <w:bCs/>
          <w:sz w:val="22"/>
          <w:szCs w:val="22"/>
        </w:rPr>
        <w:t xml:space="preserve">Immediate (0-1 hour): </w:t>
      </w:r>
      <w:r>
        <w:rPr>
          <w:rFonts w:ascii="Arial" w:cs="Arial" w:eastAsia="Arial" w:hAnsi="Arial"/>
          <w:sz w:val="22"/>
          <w:szCs w:val="22"/>
        </w:rPr>
        <w:t xml:space="preserve">Revoke AI tool access for affected user. Capture full audit trail of the session. Notify engagement architect and client security contact.</w:t>
      </w:r>
    </w:p>
    <w:p>
      <w:pPr>
        <w:pStyle w:val="ListParagraph"/>
        <w:numPr>
          <w:ilvl w:val="0"/>
          <w:numId w:val="2"/>
        </w:numPr>
        <w:spacing w:after="80"/>
      </w:pPr>
      <w:r>
        <w:rPr>
          <w:rFonts w:ascii="Arial" w:cs="Arial" w:eastAsia="Arial" w:hAnsi="Arial"/>
          <w:b/>
          <w:bCs/>
          <w:sz w:val="22"/>
          <w:szCs w:val="22"/>
        </w:rPr>
        <w:t xml:space="preserve">Assessment (1-4 hours): </w:t>
      </w:r>
      <w:r>
        <w:rPr>
          <w:rFonts w:ascii="Arial" w:cs="Arial" w:eastAsia="Arial" w:hAnsi="Arial"/>
          <w:sz w:val="22"/>
          <w:szCs w:val="22"/>
        </w:rPr>
        <w:t xml:space="preserve">Determine scope of exposure: what data, how much, which AI model processed it. Verify with Anthropic that data is not retained. Document findings.</w:t>
      </w:r>
    </w:p>
    <w:p>
      <w:pPr>
        <w:pStyle w:val="ListParagraph"/>
        <w:numPr>
          <w:ilvl w:val="0"/>
          <w:numId w:val="2"/>
        </w:numPr>
        <w:spacing w:after="80"/>
      </w:pPr>
      <w:r>
        <w:rPr>
          <w:rFonts w:ascii="Arial" w:cs="Arial" w:eastAsia="Arial" w:hAnsi="Arial"/>
          <w:b/>
          <w:bCs/>
          <w:sz w:val="22"/>
          <w:szCs w:val="22"/>
        </w:rPr>
        <w:t xml:space="preserve">Containment (4-24 hours): </w:t>
      </w:r>
      <w:r>
        <w:rPr>
          <w:rFonts w:ascii="Arial" w:cs="Arial" w:eastAsia="Arial" w:hAnsi="Arial"/>
          <w:sz w:val="22"/>
          <w:szCs w:val="22"/>
        </w:rPr>
        <w:t xml:space="preserve">Root cause analysis. If systematic failure, suspend AI tool usage pending fix. Implement immediate controls to prevent recurrence.</w:t>
      </w:r>
    </w:p>
    <w:p>
      <w:pPr>
        <w:pStyle w:val="ListParagraph"/>
        <w:numPr>
          <w:ilvl w:val="0"/>
          <w:numId w:val="2"/>
        </w:numPr>
        <w:spacing w:after="80"/>
      </w:pPr>
      <w:r>
        <w:rPr>
          <w:rFonts w:ascii="Arial" w:cs="Arial" w:eastAsia="Arial" w:hAnsi="Arial"/>
          <w:b/>
          <w:bCs/>
          <w:sz w:val="22"/>
          <w:szCs w:val="22"/>
        </w:rPr>
        <w:t xml:space="preserve">Remediation (24-72 hours): </w:t>
      </w:r>
      <w:r>
        <w:rPr>
          <w:rFonts w:ascii="Arial" w:cs="Arial" w:eastAsia="Arial" w:hAnsi="Arial"/>
          <w:sz w:val="22"/>
          <w:szCs w:val="22"/>
        </w:rPr>
        <w:t xml:space="preserve">Correct the control gap. Retrain affected personnel. Update PII scanning rules. Provide written incident report to client.</w:t>
      </w:r>
    </w:p>
    <w:p>
      <w:pPr>
        <w:pStyle w:val="ListParagraph"/>
        <w:numPr>
          <w:ilvl w:val="0"/>
          <w:numId w:val="2"/>
        </w:numPr>
        <w:spacing w:after="80"/>
      </w:pPr>
      <w:r>
        <w:rPr>
          <w:rFonts w:ascii="Arial" w:cs="Arial" w:eastAsia="Arial" w:hAnsi="Arial"/>
          <w:b/>
          <w:bCs/>
          <w:sz w:val="22"/>
          <w:szCs w:val="22"/>
        </w:rPr>
        <w:t xml:space="preserve">HIPAA Assessment (if PHI): </w:t>
      </w:r>
      <w:r>
        <w:rPr>
          <w:rFonts w:ascii="Arial" w:cs="Arial" w:eastAsia="Arial" w:hAnsi="Arial"/>
          <w:sz w:val="22"/>
          <w:szCs w:val="22"/>
        </w:rPr>
        <w:t xml:space="preserve">Conduct HIPAA breach risk assessment within 72 hours. If PHI breach confirmed, follow HIPAA breach notification procedures.</w:t>
      </w:r>
    </w:p>
    <w:p>
      <w:pPr>
        <w:spacing w:after="200"/>
      </w:pPr>
    </w:p>
    <w:p>
      <w:r>
        <w:br w:type="page"/>
      </w:r>
    </w:p>
    <w:p>
      <w:pPr>
        <w:pStyle w:val="Heading1"/>
      </w:pPr>
      <w:r>
        <w:t xml:space="preserve">10. Checklists &amp; Templates</w:t>
      </w:r>
    </w:p>
    <w:p>
      <w:pPr>
        <w:spacing w:after="160"/>
      </w:pPr>
      <w:r>
        <w:t xml:space="preserve">The following operational checklists and templates support day-to-day governance execution.</w:t>
      </w:r>
    </w:p>
    <w:p>
      <w:pPr>
        <w:spacing w:after="200"/>
      </w:pPr>
    </w:p>
    <w:p>
      <w:pPr>
        <w:pStyle w:val="Heading2"/>
      </w:pPr>
      <w:r>
        <w:t xml:space="preserve">10.1 Pre-Engagement AI Governance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5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Status / Owner</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 contract includes AI tool usage permission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Data classification completed for all GW modules in scope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Architect</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scanning rules configured for client-specific data patterns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Synthetic data library created for client’s GW data model</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QA</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agent configurations reviewed and approved</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Client-specific prompt templates developed and reviewed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Architect</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Audit trail infrastructure deployed and tested</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DevOps</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 stakeholders briefed on AI governance framework</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Delivery Lead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IP ownership clauses confirmed in statement of work</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Regulatory requirements mapped (SOX/HIPAA/State)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Compliance</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dashboard configured with client access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DevOps</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Incident response contacts and escalation paths documented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Delivery Lead</w:t>
            </w:r>
          </w:p>
        </w:tc>
      </w:tr>
    </w:tbl>
    <w:p>
      <w:pPr>
        <w:spacing w:after="200"/>
      </w:pPr>
    </w:p>
    <w:p>
      <w:pPr>
        <w:pStyle w:val="Heading2"/>
      </w:pPr>
      <w:r>
        <w:t xml:space="preserve">10.2 Per-Sprint AI Code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5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Status / Owner</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AI-generated code tagged with [AI-ASSISTED] in commits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Gosu compilation successful in target GW environment version</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Static analysis passed with zero critical/high findings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Security scan completed with zero vulnerabilities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Security</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License scan confirms only approved licenses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Automated</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GW pattern conformance verified (delegates, bundles, queries)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GW Lead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GUnit test coverage meets &gt;80% threshold</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QA</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Human code review completed by certified GW developer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GW Lead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PII detected in any AI interaction audit logs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Business logic validated against requirements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BA / QA</w:t>
            </w:r>
          </w:p>
        </w:tc>
      </w:tr>
    </w:tbl>
    <w:p>
      <w:pPr>
        <w:spacing w:after="200"/>
      </w:pPr>
    </w:p>
    <w:p>
      <w:pPr>
        <w:pStyle w:val="Heading2"/>
      </w:pPr>
      <w:r>
        <w:t xml:space="preserve">10.3 Production Release AI Governance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5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Status / Owner</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AI-generated code passed complete validation pipeline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Release Manager</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No open P1/P2 AI-related defects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QA Lead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scan report attached to release package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License compliance report attached to release package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Automated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Compliance attestation signed by Engagement Architect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Client Technical Lead approval obtained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Delivery Lead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Audit trail complete and exportable for all AI interactions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DevOps</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Rollback plan documented for AI-generated components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Release Manager</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governance summary included in release notes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w:t>
            </w:r>
          </w:p>
        </w:tc>
      </w:tr>
    </w:tbl>
    <w:p>
      <w:pPr>
        <w:spacing w:after="200"/>
      </w:pPr>
    </w:p>
    <w:p>
      <w:pPr>
        <w:pStyle w:val="Heading2"/>
      </w:pPr>
      <w:r>
        <w:t xml:space="preserve">10.4 Monthly Governance Report Template</w:t>
      </w:r>
    </w:p>
    <w:p>
      <w:pPr>
        <w:spacing w:after="160"/>
      </w:pPr>
      <w:r>
        <w:t xml:space="preserve">Provide the following to the client monthly: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Report Section</w:t>
            </w:r>
          </w:p>
        </w:tc>
        <w:tc>
          <w:tcPr>
            <w:tcW w:type="dxa" w:w="67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 Executive Summary</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High-level overview of AI usage, quality outcomes, and any incidents during the period</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 AI Usage Statistics</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Number of AI interactions, tokens consumed, agents used, cost breakdown by module (PC/CC/BC)</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 Code Quality Metrics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Acceptance rate, edit distance, defect rates, compilation success, test coverage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4. Security &amp; Privacy Report</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PII scan results (total scans, any detections), vulnerability scan results, license compliance status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 Compliance Status</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gate pass rates, audit trail completeness, any compliance findings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6. Incident Summary</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Any AI-related incidents, status, root cause, and remediation actions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 Continuous Improvement</w:t>
            </w:r>
          </w:p>
        </w:tc>
        <w:tc>
          <w:tcPr>
            <w:tcW w:type="dxa" w:w="6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Prompt optimizations made, quality trend analysis, recommended process improvements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8. Next Period Plan</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Planned AI usage, any agent configuration changes, upcoming governance reviews</w:t>
            </w:r>
          </w:p>
        </w:tc>
      </w:tr>
    </w:tbl>
    <w:p>
      <w:pPr>
        <w:spacing w:after="200"/>
      </w:pPr>
    </w:p>
    <w:p>
      <w:pPr>
        <w:pStyle w:val="Heading2"/>
      </w:pPr>
      <w:r>
        <w:t xml:space="preserve">10.5 AI Code Commit Message Template</w:t>
      </w:r>
    </w:p>
    <w:p>
      <w:pPr>
        <w:spacing w:after="160"/>
      </w:pPr>
      <w:r>
        <w:t xml:space="preserve">All commits containing AI-assisted code must follow this format:</w:t>
      </w:r>
    </w:p>
    <w:p>
      <w:pPr>
        <w:spacing w:after="200"/>
      </w:pPr>
    </w:p>
    <w:p>
      <w:pPr>
        <w:spacing w:after="160"/>
        <w:ind w:left="720"/>
      </w:pPr>
      <w:r>
        <w:rPr>
          <w:rFonts w:ascii="Courier New" w:cs="Courier New" w:eastAsia="Courier New" w:hAnsi="Courier New"/>
          <w:sz w:val="20"/>
          <w:szCs w:val="20"/>
        </w:rPr>
        <w:t xml:space="preserve">[AI-ASSISTED] [Agent: config-agent-v2.1] [Module: PolicyCenter]</w:t>
      </w:r>
    </w:p>
    <w:p>
      <w:pPr>
        <w:spacing w:after="60"/>
        <w:ind w:left="720"/>
      </w:pPr>
      <w:r>
        <w:rPr>
          <w:rFonts w:ascii="Courier New" w:cs="Courier New" w:eastAsia="Courier New" w:hAnsi="Courier New"/>
          <w:sz w:val="20"/>
          <w:szCs w:val="20"/>
        </w:rPr>
        <w:t xml:space="preserve">Description: Generated entity extension for LOBSpecific fields</w:t>
      </w:r>
    </w:p>
    <w:p>
      <w:pPr>
        <w:spacing w:after="60"/>
        <w:ind w:left="720"/>
      </w:pPr>
      <w:r>
        <w:rPr>
          <w:rFonts w:ascii="Courier New" w:cs="Courier New" w:eastAsia="Courier New" w:hAnsi="Courier New"/>
          <w:sz w:val="20"/>
          <w:szCs w:val="20"/>
        </w:rPr>
        <w:t xml:space="preserve">Reviewer: [Developer Name]</w:t>
      </w:r>
    </w:p>
    <w:p>
      <w:pPr>
        <w:spacing w:after="60"/>
        <w:ind w:left="720"/>
      </w:pPr>
      <w:r>
        <w:rPr>
          <w:rFonts w:ascii="Courier New" w:cs="Courier New" w:eastAsia="Courier New" w:hAnsi="Courier New"/>
          <w:sz w:val="20"/>
          <w:szCs w:val="20"/>
        </w:rPr>
        <w:t xml:space="preserve">Modifications: [Brief description of human edits to AI output]</w:t>
      </w:r>
    </w:p>
    <w:p>
      <w:pPr>
        <w:spacing w:after="60"/>
        <w:ind w:left="720"/>
      </w:pPr>
      <w:r>
        <w:rPr>
          <w:rFonts w:ascii="Courier New" w:cs="Courier New" w:eastAsia="Courier New" w:hAnsi="Courier New"/>
          <w:sz w:val="20"/>
          <w:szCs w:val="20"/>
        </w:rPr>
        <w:t xml:space="preserve">PII-Scan: PASS | Security-Scan: PASS | License-Scan: PASS</w:t>
      </w:r>
    </w:p>
    <w:p>
      <w:pPr>
        <w:spacing w:after="200"/>
      </w:pPr>
    </w:p>
    <w:p>
      <w:r>
        <w:br w:type="page"/>
      </w:r>
    </w:p>
    <w:p>
      <w:pPr>
        <w:pStyle w:val="Heading1"/>
      </w:pPr>
      <w:r>
        <w:t xml:space="preserve">11. Risk Register</w:t>
      </w:r>
    </w:p>
    <w:p>
      <w:pPr>
        <w:spacing w:after="160"/>
      </w:pPr>
      <w:r>
        <w:t xml:space="preserve">The following risk register is actively maintained and reviewed at each monthly governance meeting: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900"/>
        <w:gridCol w:w="2560"/>
        <w:gridCol w:w="1900"/>
      </w:tblGrid>
      <w:tr>
        <w:tc>
          <w:tcPr>
            <w:tcW w:type="dxa" w:w="8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2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10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5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9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R-001</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leakage into AI context through production error logs</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Automated PII scanner; sanitization templates; developer training</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Lead</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R-002</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 generates Gosu code with incorrect bundle/transaction handling</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GW-specific static analysis rules; mandatory expert review; integration testing</w:t>
            </w:r>
          </w:p>
        </w:tc>
        <w:tc>
          <w:tcPr>
            <w:tcW w:type="dxa" w:w="1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GW Lead Dev</w:t>
            </w:r>
          </w:p>
        </w:tc>
      </w:tr>
      <w:tr>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R-003</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introduces copyleft-licensed dependency into codebase</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Automated license scanning in CI/CD; dependency allow-list enforcement</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R-004</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AI-generated rating logic produces incorrect premium calculations</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Actuarial verification gate; comprehensive rating test suite; parallel run validation</w:t>
            </w:r>
          </w:p>
        </w:tc>
        <w:tc>
          <w:tcPr>
            <w:tcW w:type="dxa" w:w="1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Architect</w:t>
            </w:r>
          </w:p>
        </w:tc>
      </w:tr>
      <w:tr>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R-005</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model version change degrades Gosu code quality</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Model version pinning; regression test suite; quality metric monitoring</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R-006</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Developer over-reliance on AI reduces Guidewire expertise development</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Mandatory manual coding quotas; knowledge assessments; pair programming</w:t>
            </w:r>
          </w:p>
        </w:tc>
        <w:tc>
          <w:tcPr>
            <w:tcW w:type="dxa" w:w="1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GW Lead Dev</w:t>
            </w:r>
          </w:p>
        </w:tc>
      </w:tr>
      <w:tr>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R-007</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 data exposed through AI provider security breach</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client data in AI context (by design); contractual indemnification; zero-retention API</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Lead</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R-008</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AI-generated claims adjudication logic violates state regulations</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Compliance review gate; state regulation rule engine; legal review for claims logic</w:t>
            </w:r>
          </w:p>
        </w:tc>
        <w:tc>
          <w:tcPr>
            <w:tcW w:type="dxa" w:w="1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R-009</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SOX audit finding due to insufficient AI change management documentation</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Immutable audit trail; governance attestation per release; proactive audit preparation</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R-010</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AI-generated integration code causes data sync failures</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Contract testing; idempotency validation; circuit breaker patterns; monitoring</w:t>
            </w:r>
          </w:p>
        </w:tc>
        <w:tc>
          <w:tcPr>
            <w:tcW w:type="dxa" w:w="1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Architect</w:t>
            </w:r>
          </w:p>
        </w:tc>
      </w:tr>
    </w:tbl>
    <w:p>
      <w:pPr>
        <w:spacing w:after="200"/>
      </w:pPr>
    </w:p>
    <w:p>
      <w:r>
        <w:br w:type="page"/>
      </w:r>
    </w:p>
    <w:p>
      <w:pPr>
        <w:pStyle w:val="Heading1"/>
      </w:pPr>
      <w:r>
        <w:t xml:space="preserve">12. Continuous Improvement &amp; Review</w:t>
      </w:r>
    </w:p>
    <w:p>
      <w:pPr>
        <w:pStyle w:val="Heading2"/>
      </w:pPr>
      <w:r>
        <w:t xml:space="preserve">12.1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560"/>
        <w:gridCol w:w="3000"/>
      </w:tblGrid>
      <w:tr>
        <w:tc>
          <w:tcPr>
            <w:tcW w:type="dxa" w:w="24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Review</w:t>
            </w:r>
          </w:p>
        </w:tc>
        <w:tc>
          <w:tcPr>
            <w:tcW w:type="dxa" w:w="14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56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Participants</w:t>
            </w:r>
          </w:p>
        </w:tc>
        <w:tc>
          <w:tcPr>
            <w:tcW w:type="dxa" w:w="3000"/>
            <w:tcBorders>
              <w:top w:val="single" w:color="CBD5E0" w:sz="1"/>
              <w:left w:val="single" w:color="CBD5E0" w:sz="1"/>
              <w:bottom w:val="single" w:color="CBD5E0" w:sz="1"/>
              <w:right w:val="single" w:color="CBD5E0" w:sz="1"/>
            </w:tcBorders>
            <w:shd w:fill="1A3353"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Governance Sprint Review</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Every sprint</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 GW Lead, QA, Security</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Updated metrics, action items, prompt improvements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Monthly Governance Report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Monthly</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Full team + Client Tech Lead</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Governance report, risk register update, attestation</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Quarterly Framework Review</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stakeholders + Client Compliance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Framework updates, policy revisions, audit prep</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Annual External Audit</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Annual</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External auditor + Client</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Audit report, certification, improvement roadmap</w:t>
            </w:r>
          </w:p>
        </w:tc>
      </w:tr>
    </w:tbl>
    <w:p>
      <w:pPr>
        <w:spacing w:after="200"/>
      </w:pPr>
    </w:p>
    <w:p>
      <w:pPr>
        <w:pStyle w:val="Heading2"/>
      </w:pPr>
      <w:r>
        <w:t xml:space="preserve">12.2 Feedback Loop</w:t>
      </w:r>
    </w:p>
    <w:p>
      <w:pPr>
        <w:pStyle w:val="ListParagraph"/>
        <w:numPr>
          <w:ilvl w:val="0"/>
          <w:numId w:val="2"/>
        </w:numPr>
        <w:spacing w:after="80"/>
      </w:pPr>
      <w:r>
        <w:rPr>
          <w:rFonts w:ascii="Arial" w:cs="Arial" w:eastAsia="Arial" w:hAnsi="Arial"/>
          <w:sz w:val="22"/>
          <w:szCs w:val="22"/>
        </w:rPr>
        <w:t xml:space="preserve">Developer feedback on AI output quality is collected each sprint and used to optimize prompt templates</w:t>
      </w:r>
    </w:p>
    <w:p>
      <w:pPr>
        <w:pStyle w:val="ListParagraph"/>
        <w:numPr>
          <w:ilvl w:val="0"/>
          <w:numId w:val="2"/>
        </w:numPr>
        <w:spacing w:after="80"/>
      </w:pPr>
      <w:r>
        <w:rPr>
          <w:rFonts w:ascii="Arial" w:cs="Arial" w:eastAsia="Arial" w:hAnsi="Arial"/>
          <w:sz w:val="22"/>
          <w:szCs w:val="22"/>
        </w:rPr>
        <w:t xml:space="preserve">Code review findings on AI-generated code are categorized and fed back into agent configuration improvements</w:t>
      </w:r>
    </w:p>
    <w:p>
      <w:pPr>
        <w:pStyle w:val="ListParagraph"/>
        <w:numPr>
          <w:ilvl w:val="0"/>
          <w:numId w:val="2"/>
        </w:numPr>
        <w:spacing w:after="80"/>
      </w:pPr>
      <w:r>
        <w:rPr>
          <w:rFonts w:ascii="Arial" w:cs="Arial" w:eastAsia="Arial" w:hAnsi="Arial"/>
          <w:sz w:val="22"/>
          <w:szCs w:val="22"/>
        </w:rPr>
        <w:t xml:space="preserve">Client feedback on governance reporting is incorporated into template updates</w:t>
      </w:r>
    </w:p>
    <w:p>
      <w:pPr>
        <w:pStyle w:val="ListParagraph"/>
        <w:numPr>
          <w:ilvl w:val="0"/>
          <w:numId w:val="2"/>
        </w:numPr>
        <w:spacing w:after="80"/>
      </w:pPr>
      <w:r>
        <w:rPr>
          <w:rFonts w:ascii="Arial" w:cs="Arial" w:eastAsia="Arial" w:hAnsi="Arial"/>
          <w:sz w:val="22"/>
          <w:szCs w:val="22"/>
        </w:rPr>
        <w:t xml:space="preserve">Defect root cause analysis informs both prompt engineering and validation pipeline enhancements</w:t>
      </w:r>
    </w:p>
    <w:p>
      <w:pPr>
        <w:pStyle w:val="ListParagraph"/>
        <w:numPr>
          <w:ilvl w:val="0"/>
          <w:numId w:val="2"/>
        </w:numPr>
        <w:spacing w:after="80"/>
      </w:pPr>
      <w:r>
        <w:rPr>
          <w:rFonts w:ascii="Arial" w:cs="Arial" w:eastAsia="Arial" w:hAnsi="Arial"/>
          <w:sz w:val="22"/>
          <w:szCs w:val="22"/>
        </w:rPr>
        <w:t xml:space="preserve">Industry best practices and regulatory changes are monitored and incorporated quarterly</w:t>
      </w:r>
    </w:p>
    <w:p>
      <w:pPr>
        <w:spacing w:after="200"/>
      </w:pPr>
    </w:p>
    <w:p>
      <w:pPr>
        <w:spacing w:after="200"/>
      </w:pPr>
    </w:p>
    <w:p>
      <w:pPr>
        <w:pBdr>
          <w:top w:val="single" w:color="00529B" w:sz="6" w:space="1"/>
        </w:pBdr>
        <w:spacing w:before="400" w:after="200"/>
        <w:jc w:val="center"/>
      </w:pPr>
      <w:r>
        <w:rPr>
          <w:rFonts w:ascii="Arial" w:cs="Arial" w:eastAsia="Arial" w:hAnsi="Arial"/>
          <w:b/>
          <w:bCs/>
          <w:color w:val="5A6778"/>
          <w:sz w:val="20"/>
          <w:szCs w:val="20"/>
        </w:rPr>
        <w:t xml:space="preserve">END OF DOCUMENT</w:t>
      </w:r>
    </w:p>
    <w:p>
      <w:pPr>
        <w:spacing w:after="80"/>
        <w:jc w:val="center"/>
      </w:pPr>
      <w:r>
        <w:rPr>
          <w:rFonts w:ascii="Arial" w:cs="Arial" w:eastAsia="Arial" w:hAnsi="Arial"/>
          <w:i/>
          <w:iCs/>
          <w:color w:val="5A6778"/>
          <w:sz w:val="18"/>
          <w:szCs w:val="18"/>
        </w:rPr>
        <w:t xml:space="preserve">This document is a living framework subject to continuous improvement.</w:t>
      </w:r>
    </w:p>
    <w:p>
      <w:pPr>
        <w:jc w:val="center"/>
      </w:pPr>
      <w:r>
        <w:rPr>
          <w:rFonts w:ascii="Arial" w:cs="Arial" w:eastAsia="Arial" w:hAnsi="Arial"/>
          <w:i/>
          <w:iCs/>
          <w:color w:val="5A6778"/>
          <w:sz w:val="18"/>
          <w:szCs w:val="18"/>
        </w:rPr>
        <w:t xml:space="preserve">Next scheduled review: [Date + 90 days]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29B" w:sz="2" w:space="1"/>
      </w:pBdr>
      <w:tabs>
        <w:tab w:val="right" w:pos="9026"/>
      </w:tabs>
    </w:pPr>
    <w:r>
      <w:rPr>
        <w:rFonts w:ascii="Arial" w:cs="Arial" w:eastAsia="Arial" w:hAnsi="Arial"/>
        <w:color w:val="5A6778"/>
        <w:sz w:val="16"/>
        <w:szCs w:val="16"/>
      </w:rPr>
      <w:t xml:space="preserve">[Client Name] — Guidewire Implementation</w:t>
    </w:r>
    <w:r>
      <w:rPr>
        <w:rFonts w:ascii="Arial" w:cs="Arial" w:eastAsia="Arial" w:hAnsi="Arial"/>
        <w:color w:val="5A6778"/>
        <w:sz w:val="16"/>
        <w:szCs w:val="16"/>
      </w:rPr>
      <w:t xml:space="preserve">	Page </w:t>
    </w:r>
    <w:r>
      <w:rPr>
        <w:rFonts w:ascii="Arial" w:cs="Arial" w:eastAsia="Arial" w:hAnsi="Arial"/>
        <w:color w:val="5A67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9B" w:sz="2" w:space="1"/>
      </w:pBdr>
      <w:tabs>
        <w:tab w:val="right" w:pos="9026"/>
      </w:tabs>
    </w:pPr>
    <w:r>
      <w:rPr>
        <w:rFonts w:ascii="Arial" w:cs="Arial" w:eastAsia="Arial" w:hAnsi="Arial"/>
        <w:color w:val="5A6778"/>
        <w:sz w:val="16"/>
        <w:szCs w:val="16"/>
      </w:rPr>
      <w:t xml:space="preserve">AI Governance Framework  |  Guidewire AI Code Assistant</w:t>
    </w:r>
    <w:r>
      <w:rPr>
        <w:rFonts w:ascii="Arial" w:cs="Arial" w:eastAsia="Arial" w:hAnsi="Arial"/>
        <w:b/>
        <w:bCs/>
        <w:color w:val="C5303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353"/>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6CB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B19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2026-03-08T03:52:29.714Z</dcterms:created>
  <dcterms:modified xsi:type="dcterms:W3CDTF">2026-03-08T03:52:29.716Z</dcterms:modified>
</cp:coreProperties>
</file>

<file path=docProps/custom.xml><?xml version="1.0" encoding="utf-8"?>
<Properties xmlns="http://schemas.openxmlformats.org/officeDocument/2006/custom-properties" xmlns:vt="http://schemas.openxmlformats.org/officeDocument/2006/docPropsVTypes"/>
</file>