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after="80"/>
        <w:jc w:val="center"/>
      </w:pPr>
      <w:r>
        <w:rPr>
          <w:rFonts w:ascii="Arial" w:cs="Arial" w:eastAsia="Arial" w:hAnsi="Arial"/>
          <w:b/>
          <w:bCs/>
          <w:color w:val="1F6FEB"/>
          <w:sz w:val="80"/>
          <w:szCs w:val="80"/>
        </w:rPr>
        <w:t xml:space="preserve">SPENDLY</w:t>
      </w:r>
    </w:p>
    <w:p>
      <w:pPr>
        <w:spacing w:after="80"/>
        <w:jc w:val="center"/>
      </w:pPr>
      <w:r>
        <w:rPr>
          <w:rFonts w:ascii="Arial" w:cs="Arial" w:eastAsia="Arial" w:hAnsi="Arial"/>
          <w:color w:val="374151"/>
          <w:sz w:val="36"/>
          <w:szCs w:val="36"/>
        </w:rPr>
        <w:t xml:space="preserve">Personal Finance Tracker</w:t>
      </w:r>
    </w:p>
    <w:p>
      <w:pPr>
        <w:shd w:fill="1F6FEB" w:val="clear"/>
        <w:spacing w:before="160" w:after="400"/>
        <w:ind w:left="1400" w:right="1400"/>
        <w:jc w:val="center"/>
      </w:pPr>
      <w:r>
        <w:rPr>
          <w:rFonts w:ascii="Arial" w:cs="Arial" w:eastAsia="Arial" w:hAnsi="Arial"/>
          <w:b/>
          <w:bCs/>
          <w:color w:val="FFFFFF"/>
          <w:sz w:val="24"/>
          <w:szCs w:val="24"/>
        </w:rPr>
        <w:t xml:space="preserve">STAKEHOLDER REGISTER  &amp;  RISK REGISTER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Document Reference</w:t>
            </w:r>
          </w:p>
        </w:tc>
        <w:tc>
          <w:tcPr>
            <w:tcW w:type="dxa" w:w="65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SPENDLY-SR-001  /  SPENDLY-RR-001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374151"/>
                <w:sz w:val="19"/>
                <w:szCs w:val="19"/>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v1.0</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Date</w:t>
            </w:r>
          </w:p>
        </w:tc>
        <w:tc>
          <w:tcPr>
            <w:tcW w:type="dxa" w:w="65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March 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374151"/>
                <w:sz w:val="19"/>
                <w:szCs w:val="19"/>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Nandun De Silva</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Sprint</w:t>
            </w:r>
          </w:p>
        </w:tc>
        <w:tc>
          <w:tcPr>
            <w:tcW w:type="dxa" w:w="65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Sprint 1 — Initiation &amp; Planning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374151"/>
                <w:sz w:val="19"/>
                <w:szCs w:val="19"/>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Active</w:t>
            </w:r>
          </w:p>
        </w:tc>
      </w:tr>
    </w:tbl>
    <w:p>
      <w:r>
        <w:br w:type="page"/>
      </w:r>
    </w:p>
    <w:p>
      <w:pPr>
        <w:spacing w:after="400"/>
        <w:jc w:val="center"/>
      </w:pPr>
      <w:r>
        <w:rPr>
          <w:rFonts w:ascii="Arial" w:cs="Arial" w:eastAsia="Arial" w:hAnsi="Arial"/>
          <w:b/>
          <w:bCs/>
          <w:color w:val="1F6FEB"/>
          <w:sz w:val="40"/>
          <w:szCs w:val="40"/>
        </w:rPr>
        <w:t xml:space="preserve">PART A — STAKEHOLDER REGISTER</w:t>
      </w:r>
    </w:p>
    <w:p>
      <w:pPr>
        <w:shd w:fill="1F6FEB" w:val="clear"/>
        <w:spacing w:before="280" w:after="120"/>
        <w:ind w:left="160" w:right="160"/>
      </w:pPr>
      <w:r>
        <w:rPr>
          <w:rFonts w:ascii="Arial" w:cs="Arial" w:eastAsia="Arial" w:hAnsi="Arial"/>
          <w:b/>
          <w:bCs/>
          <w:color w:val="FFFFFF"/>
          <w:sz w:val="26"/>
          <w:szCs w:val="26"/>
        </w:rPr>
        <w:t xml:space="preserve">A1.  PURPOSE</w:t>
      </w:r>
    </w:p>
    <w:p>
      <w:pPr>
        <w:spacing w:before="0" w:after="80"/>
      </w:pPr>
      <w:r>
        <w:t xml:space="preserve"/>
      </w:r>
    </w:p>
    <w:p>
      <w:pPr>
        <w:spacing w:before="60" w:after="60"/>
        <w:ind w:left="160"/>
      </w:pPr>
      <w:r>
        <w:rPr>
          <w:rFonts w:ascii="Arial" w:cs="Arial" w:eastAsia="Arial" w:hAnsi="Arial"/>
          <w:color w:val="0D1117"/>
          <w:sz w:val="22"/>
          <w:szCs w:val="22"/>
        </w:rPr>
        <w:t xml:space="preserve">This Stakeholder Register identifies all individuals, groups, and organisations that have an interest in or are affected by the Spendly project. It documents each stakeholder's role, level of interest, degree of influence, and the engagement strategy to be applied throughout the project lifecycle.</w:t>
      </w:r>
    </w:p>
    <w:p>
      <w:pPr>
        <w:shd w:fill="1F6FEB" w:val="clear"/>
        <w:spacing w:before="280" w:after="120"/>
        <w:ind w:left="160" w:right="160"/>
      </w:pPr>
      <w:r>
        <w:rPr>
          <w:rFonts w:ascii="Arial" w:cs="Arial" w:eastAsia="Arial" w:hAnsi="Arial"/>
          <w:b/>
          <w:bCs/>
          <w:color w:val="FFFFFF"/>
          <w:sz w:val="26"/>
          <w:szCs w:val="26"/>
        </w:rPr>
        <w:t xml:space="preserve">A2.  STAKEHOLDER REGISTER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600"/>
        <w:gridCol w:w="1760"/>
        <w:gridCol w:w="1400"/>
        <w:gridCol w:w="2000"/>
      </w:tblGrid>
      <w:tr>
        <w:tc>
          <w:tcPr>
            <w:tcW w:type="dxa" w:w="8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ID</w:t>
            </w:r>
          </w:p>
        </w:tc>
        <w:tc>
          <w:tcPr>
            <w:tcW w:type="dxa" w:w="18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Stakeholder</w:t>
            </w:r>
          </w:p>
        </w:tc>
        <w:tc>
          <w:tcPr>
            <w:tcW w:type="dxa" w:w="16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Role</w:t>
            </w:r>
          </w:p>
        </w:tc>
        <w:tc>
          <w:tcPr>
            <w:tcW w:type="dxa" w:w="176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Interest</w:t>
            </w:r>
          </w:p>
        </w:tc>
        <w:tc>
          <w:tcPr>
            <w:tcW w:type="dxa" w:w="14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Influence</w:t>
            </w:r>
          </w:p>
        </w:tc>
        <w:tc>
          <w:tcPr>
            <w:tcW w:type="dxa" w:w="20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Engagement Strategy</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SH-001</w:t>
            </w:r>
          </w:p>
        </w:tc>
        <w:tc>
          <w:tcPr>
            <w:tcW w:type="dxa" w:w="1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0D1117"/>
                <w:sz w:val="19"/>
                <w:szCs w:val="19"/>
              </w:rPr>
              <w:t xml:space="preserve">Nandun De Silva</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Project Manager &amp; Developer</w:t>
            </w:r>
          </w:p>
        </w:tc>
        <w:tc>
          <w:tcPr>
            <w:tcW w:type="dxa" w:w="17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Full delivery, quality, career portfolio value</w:t>
            </w:r>
          </w:p>
        </w:tc>
        <w:tc>
          <w:tcPr>
            <w:tcW w:type="dxa" w:w="14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2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Self-managed — daily standup log, sprint reviews</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SH-002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0D1117"/>
                <w:sz w:val="19"/>
                <w:szCs w:val="19"/>
              </w:rPr>
              <w:t xml:space="preserve">End Users (Students)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Primary Users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Simple offline finance tracking at zero cost</w:t>
            </w:r>
          </w:p>
        </w:tc>
        <w:tc>
          <w:tcPr>
            <w:tcW w:type="dxa" w:w="14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Persona-based requirements; UAT sign-off</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SH-003</w:t>
            </w:r>
          </w:p>
        </w:tc>
        <w:tc>
          <w:tcPr>
            <w:tcW w:type="dxa" w:w="1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0D1117"/>
                <w:sz w:val="19"/>
                <w:szCs w:val="19"/>
              </w:rPr>
              <w:t xml:space="preserve">End Users (Professionals)</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Primary Users</w:t>
            </w:r>
          </w:p>
        </w:tc>
        <w:tc>
          <w:tcPr>
            <w:tcW w:type="dxa" w:w="17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Budget management and spending insights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2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Persona-based requirements; UAT sign-off</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SH-004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0D1117"/>
                <w:sz w:val="19"/>
                <w:szCs w:val="19"/>
              </w:rPr>
              <w:t xml:space="preserve">Employers / Assessors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Portfolio Reviewers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Evidence of full SDLC, BA, and SE competency</w:t>
            </w:r>
          </w:p>
        </w:tc>
        <w:tc>
          <w:tcPr>
            <w:tcW w:type="dxa" w:w="14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Complete professional documentation in GitHub</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SH-005</w:t>
            </w:r>
          </w:p>
        </w:tc>
        <w:tc>
          <w:tcPr>
            <w:tcW w:type="dxa" w:w="1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0D1117"/>
                <w:sz w:val="19"/>
                <w:szCs w:val="19"/>
              </w:rPr>
              <w:t xml:space="preserve">Google Play Store</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Distribution Authority</w:t>
            </w:r>
          </w:p>
        </w:tc>
        <w:tc>
          <w:tcPr>
            <w:tcW w:type="dxa" w:w="17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Policy compliance, app quality, store guidelines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2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Follow Play Store policies from Sprint 1</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SH-006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0D1117"/>
                <w:sz w:val="19"/>
                <w:szCs w:val="19"/>
              </w:rPr>
              <w:t xml:space="preserve">Expo / React Native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Technology Platform</w:t>
            </w:r>
          </w:p>
        </w:tc>
        <w:tc>
          <w:tcPr>
            <w:tcW w:type="dxa" w:w="1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Framework stability and documentation accuracy</w:t>
            </w:r>
          </w:p>
        </w:tc>
        <w:tc>
          <w:tcPr>
            <w:tcW w:type="dxa" w:w="14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Pin versions; follow release notes</w:t>
            </w:r>
          </w:p>
        </w:tc>
      </w:tr>
    </w:tbl>
    <w:p>
      <w:pPr>
        <w:spacing w:before="0" w:after="160"/>
      </w:pPr>
      <w:r>
        <w:t xml:space="preserve"/>
      </w:r>
    </w:p>
    <w:p>
      <w:pPr>
        <w:shd w:fill="1F6FEB" w:val="clear"/>
        <w:spacing w:before="280" w:after="120"/>
        <w:ind w:left="160" w:right="160"/>
      </w:pPr>
      <w:r>
        <w:rPr>
          <w:rFonts w:ascii="Arial" w:cs="Arial" w:eastAsia="Arial" w:hAnsi="Arial"/>
          <w:b/>
          <w:bCs/>
          <w:color w:val="FFFFFF"/>
          <w:sz w:val="26"/>
          <w:szCs w:val="26"/>
        </w:rPr>
        <w:t xml:space="preserve">A3.  POWER / INTEREST MATRIX</w:t>
      </w:r>
    </w:p>
    <w:p>
      <w:pPr>
        <w:spacing w:before="0" w:after="80"/>
      </w:pPr>
      <w:r>
        <w:t xml:space="preserve"/>
      </w:r>
    </w:p>
    <w:p>
      <w:pPr>
        <w:spacing w:before="60" w:after="60"/>
        <w:ind w:left="160"/>
      </w:pPr>
      <w:r>
        <w:rPr>
          <w:rFonts w:ascii="Arial" w:cs="Arial" w:eastAsia="Arial" w:hAnsi="Arial"/>
          <w:color w:val="0D1117"/>
          <w:sz w:val="22"/>
          <w:szCs w:val="22"/>
        </w:rPr>
        <w:t xml:space="preserve">Stakeholders are classified by Power (influence over project) and Interest (level of concern with outcome):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POWER / LOW INTEREST</w:t>
            </w:r>
          </w:p>
        </w:tc>
        <w:tc>
          <w:tcPr>
            <w:tcW w:type="dxa" w:w="468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POWER / HIGH INTEREST</w:t>
            </w:r>
          </w:p>
        </w:tc>
      </w:tr>
      <w:tr>
        <w:tc>
          <w:tcPr>
            <w:tcW w:type="dxa" w:w="468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tcPr>
          <w:p>
            <w:r>
              <w:rPr>
                <w:rFonts w:ascii="Arial" w:cs="Arial" w:eastAsia="Arial" w:hAnsi="Arial"/>
                <w:b/>
                <w:bCs/>
                <w:color w:val="1E40AF"/>
                <w:sz w:val="20"/>
                <w:szCs w:val="20"/>
              </w:rPr>
              <w:t xml:space="preserve">Keep Satisfied</w:t>
            </w:r>
          </w:p>
          <w:p>
            <w:r>
              <w:rPr>
                <w:rFonts w:ascii="Arial" w:cs="Arial" w:eastAsia="Arial" w:hAnsi="Arial"/>
                <w:color w:val="0D1117"/>
                <w:sz w:val="20"/>
                <w:szCs w:val="20"/>
              </w:rPr>
              <w:t xml:space="preserve">• Google Play Store (SH-005)</w:t>
            </w:r>
          </w:p>
        </w:tc>
        <w:tc>
          <w:tcPr>
            <w:tcW w:type="dxa" w:w="4680"/>
            <w:tcBorders>
              <w:top w:val="single" w:color="CBD5E1" w:sz="1"/>
              <w:left w:val="single" w:color="CBD5E1" w:sz="1"/>
              <w:bottom w:val="single" w:color="CBD5E1" w:sz="1"/>
              <w:right w:val="single" w:color="CBD5E1" w:sz="1"/>
            </w:tcBorders>
            <w:shd w:fill="D1FAE5" w:val="clear"/>
            <w:tcMar>
              <w:top w:type="dxa" w:w="120"/>
              <w:left w:type="dxa" w:w="160"/>
              <w:bottom w:type="dxa" w:w="120"/>
              <w:right w:type="dxa" w:w="160"/>
            </w:tcMar>
          </w:tcPr>
          <w:p>
            <w:r>
              <w:rPr>
                <w:rFonts w:ascii="Arial" w:cs="Arial" w:eastAsia="Arial" w:hAnsi="Arial"/>
                <w:b/>
                <w:bCs/>
                <w:color w:val="15803D"/>
                <w:sz w:val="20"/>
                <w:szCs w:val="20"/>
              </w:rPr>
              <w:t xml:space="preserve">Manage Closely</w:t>
            </w:r>
          </w:p>
          <w:p>
            <w:r>
              <w:rPr>
                <w:rFonts w:ascii="Arial" w:cs="Arial" w:eastAsia="Arial" w:hAnsi="Arial"/>
                <w:color w:val="0D1117"/>
                <w:sz w:val="20"/>
                <w:szCs w:val="20"/>
              </w:rPr>
              <w:t xml:space="preserve">• Nandun De Silva (SH-001)</w:t>
            </w:r>
          </w:p>
          <w:p>
            <w:r>
              <w:rPr>
                <w:rFonts w:ascii="Arial" w:cs="Arial" w:eastAsia="Arial" w:hAnsi="Arial"/>
                <w:color w:val="0D1117"/>
                <w:sz w:val="20"/>
                <w:szCs w:val="20"/>
              </w:rPr>
              <w:t xml:space="preserve">• End Users (SH-002, SH-003)</w:t>
            </w:r>
          </w:p>
        </w:tc>
      </w:tr>
      <w:tr>
        <w:tc>
          <w:tcPr>
            <w:tcW w:type="dxa" w:w="4680"/>
            <w:tcBorders>
              <w:top w:val="single" w:color="CBD5E1" w:sz="1"/>
              <w:left w:val="single" w:color="CBD5E1" w:sz="1"/>
              <w:bottom w:val="single" w:color="CBD5E1" w:sz="1"/>
              <w:right w:val="single" w:color="CBD5E1" w:sz="1"/>
            </w:tcBorders>
            <w:shd w:fill="FEF3C7" w:val="clear"/>
            <w:tcMar>
              <w:top w:type="dxa" w:w="120"/>
              <w:left w:type="dxa" w:w="160"/>
              <w:bottom w:type="dxa" w:w="120"/>
              <w:right w:type="dxa" w:w="160"/>
            </w:tcMar>
          </w:tcPr>
          <w:p>
            <w:r>
              <w:rPr>
                <w:rFonts w:ascii="Arial" w:cs="Arial" w:eastAsia="Arial" w:hAnsi="Arial"/>
                <w:b/>
                <w:bCs/>
                <w:color w:val="D97706"/>
                <w:sz w:val="20"/>
                <w:szCs w:val="20"/>
              </w:rPr>
              <w:t xml:space="preserve">LOW POWER / LOW INTEREST</w:t>
            </w:r>
          </w:p>
          <w:p>
            <w:r>
              <w:rPr>
                <w:rFonts w:ascii="Arial" w:cs="Arial" w:eastAsia="Arial" w:hAnsi="Arial"/>
                <w:b/>
                <w:bCs/>
                <w:color w:val="D97706"/>
                <w:sz w:val="20"/>
                <w:szCs w:val="20"/>
              </w:rPr>
              <w:t xml:space="preserve">Monitor</w:t>
            </w:r>
          </w:p>
          <w:p>
            <w:r>
              <w:rPr>
                <w:rFonts w:ascii="Arial" w:cs="Arial" w:eastAsia="Arial" w:hAnsi="Arial"/>
                <w:color w:val="0D1117"/>
                <w:sz w:val="20"/>
                <w:szCs w:val="20"/>
              </w:rPr>
              <w:t xml:space="preserve">• Expo / React Native (SH-006)</w:t>
            </w:r>
          </w:p>
        </w:tc>
        <w:tc>
          <w:tcPr>
            <w:tcW w:type="dxa" w:w="4680"/>
            <w:tcBorders>
              <w:top w:val="single" w:color="CBD5E1" w:sz="1"/>
              <w:left w:val="single" w:color="CBD5E1" w:sz="1"/>
              <w:bottom w:val="single" w:color="CBD5E1" w:sz="1"/>
              <w:right w:val="single" w:color="CBD5E1" w:sz="1"/>
            </w:tcBorders>
            <w:shd w:fill="FEE2E2" w:val="clear"/>
            <w:tcMar>
              <w:top w:type="dxa" w:w="120"/>
              <w:left w:type="dxa" w:w="160"/>
              <w:bottom w:type="dxa" w:w="120"/>
              <w:right w:type="dxa" w:w="160"/>
            </w:tcMar>
          </w:tcPr>
          <w:p>
            <w:r>
              <w:rPr>
                <w:rFonts w:ascii="Arial" w:cs="Arial" w:eastAsia="Arial" w:hAnsi="Arial"/>
                <w:b/>
                <w:bCs/>
                <w:color w:val="DC2626"/>
                <w:sz w:val="20"/>
                <w:szCs w:val="20"/>
              </w:rPr>
              <w:t xml:space="preserve">LOW POWER / HIGH INTEREST</w:t>
            </w:r>
          </w:p>
          <w:p>
            <w:r>
              <w:rPr>
                <w:rFonts w:ascii="Arial" w:cs="Arial" w:eastAsia="Arial" w:hAnsi="Arial"/>
                <w:b/>
                <w:bCs/>
                <w:color w:val="DC2626"/>
                <w:sz w:val="20"/>
                <w:szCs w:val="20"/>
              </w:rPr>
              <w:t xml:space="preserve">Keep Informed</w:t>
            </w:r>
          </w:p>
          <w:p>
            <w:r>
              <w:rPr>
                <w:rFonts w:ascii="Arial" w:cs="Arial" w:eastAsia="Arial" w:hAnsi="Arial"/>
                <w:color w:val="0D1117"/>
                <w:sz w:val="20"/>
                <w:szCs w:val="20"/>
              </w:rPr>
              <w:t xml:space="preserve">• Employers / Assessors (SH-004)</w:t>
            </w:r>
          </w:p>
        </w:tc>
      </w:tr>
    </w:tbl>
    <w:p>
      <w:r>
        <w:br w:type="page"/>
      </w:r>
    </w:p>
    <w:p>
      <w:pPr>
        <w:spacing w:after="400"/>
        <w:jc w:val="center"/>
      </w:pPr>
      <w:r>
        <w:rPr>
          <w:rFonts w:ascii="Arial" w:cs="Arial" w:eastAsia="Arial" w:hAnsi="Arial"/>
          <w:b/>
          <w:bCs/>
          <w:color w:val="1F6FEB"/>
          <w:sz w:val="40"/>
          <w:szCs w:val="40"/>
        </w:rPr>
        <w:t xml:space="preserve">PART B — RISK REGISTER</w:t>
      </w:r>
    </w:p>
    <w:p>
      <w:pPr>
        <w:shd w:fill="1F6FEB" w:val="clear"/>
        <w:spacing w:before="280" w:after="120"/>
        <w:ind w:left="160" w:right="160"/>
      </w:pPr>
      <w:r>
        <w:rPr>
          <w:rFonts w:ascii="Arial" w:cs="Arial" w:eastAsia="Arial" w:hAnsi="Arial"/>
          <w:b/>
          <w:bCs/>
          <w:color w:val="FFFFFF"/>
          <w:sz w:val="26"/>
          <w:szCs w:val="26"/>
        </w:rPr>
        <w:t xml:space="preserve">B1.  PURPOSE</w:t>
      </w:r>
    </w:p>
    <w:p>
      <w:pPr>
        <w:spacing w:before="0" w:after="80"/>
      </w:pPr>
      <w:r>
        <w:t xml:space="preserve"/>
      </w:r>
    </w:p>
    <w:p>
      <w:pPr>
        <w:spacing w:before="60" w:after="60"/>
        <w:ind w:left="160"/>
      </w:pPr>
      <w:r>
        <w:rPr>
          <w:rFonts w:ascii="Arial" w:cs="Arial" w:eastAsia="Arial" w:hAnsi="Arial"/>
          <w:color w:val="0D1117"/>
          <w:sz w:val="22"/>
          <w:szCs w:val="22"/>
        </w:rPr>
        <w:t xml:space="preserve">This Risk Register identifies, assesses, and documents all known risks to the Spendly project. Risks are scored using a 3x3 likelihood x impact matrix. The register is reviewed at the start of each sprint and updated as new risks emerge or existing risks are resolved.</w:t>
      </w:r>
    </w:p>
    <w:p>
      <w:pPr>
        <w:shd w:fill="1F6FEB" w:val="clear"/>
        <w:spacing w:before="280" w:after="120"/>
        <w:ind w:left="160" w:right="160"/>
      </w:pPr>
      <w:r>
        <w:rPr>
          <w:rFonts w:ascii="Arial" w:cs="Arial" w:eastAsia="Arial" w:hAnsi="Arial"/>
          <w:b/>
          <w:bCs/>
          <w:color w:val="FFFFFF"/>
          <w:sz w:val="26"/>
          <w:szCs w:val="26"/>
        </w:rPr>
        <w:t xml:space="preserve">B2.  RISK SCORING MATRIX</w:t>
      </w:r>
    </w:p>
    <w:p>
      <w:pPr>
        <w:spacing w:before="0" w:after="80"/>
      </w:pPr>
      <w:r>
        <w:t xml:space="preserve"/>
      </w:r>
    </w:p>
    <w:p>
      <w:pPr>
        <w:spacing w:before="60" w:after="60"/>
        <w:ind w:left="160"/>
      </w:pPr>
      <w:r>
        <w:rPr>
          <w:rFonts w:ascii="Arial" w:cs="Arial" w:eastAsia="Arial" w:hAnsi="Arial"/>
          <w:color w:val="0D1117"/>
          <w:sz w:val="22"/>
          <w:szCs w:val="22"/>
        </w:rPr>
        <w:t xml:space="preserve">Risk Score = Likelihood x Impact.  Score 1-2: Low (Green)   Score 3-4: Medium (Amber)   Score 6-9: High (Red)</w:t>
      </w:r>
    </w:p>
    <w:p>
      <w:pPr>
        <w:spacing w:before="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CBD5E1" w:sz="1"/>
              <w:left w:val="single" w:color="CBD5E1" w:sz="1"/>
              <w:bottom w:val="single" w:color="CBD5E1" w:sz="1"/>
              <w:right w:val="single" w:color="CBD5E1"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 \ I</w:t>
            </w:r>
          </w:p>
        </w:tc>
        <w:tc>
          <w:tcPr>
            <w:tcW w:type="dxa" w:w="1500"/>
            <w:tcBorders>
              <w:top w:val="single" w:color="CBD5E1" w:sz="1"/>
              <w:left w:val="single" w:color="CBD5E1" w:sz="1"/>
              <w:bottom w:val="single" w:color="CBD5E1" w:sz="1"/>
              <w:right w:val="single" w:color="CBD5E1"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(1)</w:t>
            </w:r>
          </w:p>
        </w:tc>
        <w:tc>
          <w:tcPr>
            <w:tcW w:type="dxa" w:w="1500"/>
            <w:tcBorders>
              <w:top w:val="single" w:color="CBD5E1" w:sz="1"/>
              <w:left w:val="single" w:color="CBD5E1" w:sz="1"/>
              <w:bottom w:val="single" w:color="CBD5E1" w:sz="1"/>
              <w:right w:val="single" w:color="CBD5E1"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 (2)</w:t>
            </w:r>
          </w:p>
        </w:tc>
        <w:tc>
          <w:tcPr>
            <w:tcW w:type="dxa" w:w="1500"/>
            <w:tcBorders>
              <w:top w:val="single" w:color="CBD5E1" w:sz="1"/>
              <w:left w:val="single" w:color="CBD5E1" w:sz="1"/>
              <w:bottom w:val="single" w:color="CBD5E1" w:sz="1"/>
              <w:right w:val="single" w:color="CBD5E1"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(3)</w:t>
            </w:r>
          </w:p>
        </w:tc>
      </w:tr>
      <w:tr>
        <w:tc>
          <w:tcPr>
            <w:tcW w:type="dxa" w:w="1500"/>
            <w:tcBorders>
              <w:top w:val="single" w:color="CBD5E1" w:sz="1"/>
              <w:left w:val="single" w:color="CBD5E1" w:sz="1"/>
              <w:bottom w:val="single" w:color="CBD5E1" w:sz="1"/>
              <w:right w:val="single" w:color="CBD5E1"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(1)</w:t>
            </w:r>
          </w:p>
        </w:tc>
        <w:tc>
          <w:tcPr>
            <w:tcW w:type="dxa" w:w="15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1</w:t>
            </w:r>
          </w:p>
        </w:tc>
        <w:tc>
          <w:tcPr>
            <w:tcW w:type="dxa" w:w="15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2</w:t>
            </w:r>
          </w:p>
        </w:tc>
        <w:tc>
          <w:tcPr>
            <w:tcW w:type="dxa" w:w="15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w:t>
            </w:r>
          </w:p>
        </w:tc>
      </w:tr>
      <w:tr>
        <w:tc>
          <w:tcPr>
            <w:tcW w:type="dxa" w:w="1500"/>
            <w:tcBorders>
              <w:top w:val="single" w:color="CBD5E1" w:sz="1"/>
              <w:left w:val="single" w:color="CBD5E1" w:sz="1"/>
              <w:bottom w:val="single" w:color="CBD5E1" w:sz="1"/>
              <w:right w:val="single" w:color="CBD5E1"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 (2)</w:t>
            </w:r>
          </w:p>
        </w:tc>
        <w:tc>
          <w:tcPr>
            <w:tcW w:type="dxa" w:w="15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2</w:t>
            </w:r>
          </w:p>
        </w:tc>
        <w:tc>
          <w:tcPr>
            <w:tcW w:type="dxa" w:w="15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4</w:t>
            </w:r>
          </w:p>
        </w:tc>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6</w:t>
            </w:r>
          </w:p>
        </w:tc>
      </w:tr>
      <w:tr>
        <w:tc>
          <w:tcPr>
            <w:tcW w:type="dxa" w:w="1500"/>
            <w:tcBorders>
              <w:top w:val="single" w:color="CBD5E1" w:sz="1"/>
              <w:left w:val="single" w:color="CBD5E1" w:sz="1"/>
              <w:bottom w:val="single" w:color="CBD5E1" w:sz="1"/>
              <w:right w:val="single" w:color="CBD5E1" w:sz="1"/>
            </w:tcBorders>
            <w:shd w:fill="37415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(3)</w:t>
            </w:r>
          </w:p>
        </w:tc>
        <w:tc>
          <w:tcPr>
            <w:tcW w:type="dxa" w:w="15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w:t>
            </w:r>
          </w:p>
        </w:tc>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6</w:t>
            </w:r>
          </w:p>
        </w:tc>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9</w:t>
            </w:r>
          </w:p>
        </w:tc>
      </w:tr>
    </w:tbl>
    <w:p>
      <w:pPr>
        <w:spacing w:before="0" w:after="160"/>
      </w:pPr>
      <w:r>
        <w:t xml:space="preserve"/>
      </w:r>
    </w:p>
    <w:p>
      <w:pPr>
        <w:shd w:fill="1F6FEB" w:val="clear"/>
        <w:spacing w:before="280" w:after="120"/>
        <w:ind w:left="160" w:right="160"/>
      </w:pPr>
      <w:r>
        <w:rPr>
          <w:rFonts w:ascii="Arial" w:cs="Arial" w:eastAsia="Arial" w:hAnsi="Arial"/>
          <w:b/>
          <w:bCs/>
          <w:color w:val="FFFFFF"/>
          <w:sz w:val="26"/>
          <w:szCs w:val="26"/>
        </w:rPr>
        <w:t xml:space="preserve">B3.  RISK REGISTER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000"/>
        <w:gridCol w:w="900"/>
        <w:gridCol w:w="900"/>
        <w:gridCol w:w="760"/>
        <w:gridCol w:w="1600"/>
      </w:tblGrid>
      <w:tr>
        <w:tc>
          <w:tcPr>
            <w:tcW w:type="dxa" w:w="7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ID</w:t>
            </w:r>
          </w:p>
        </w:tc>
        <w:tc>
          <w:tcPr>
            <w:tcW w:type="dxa" w:w="25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Risk Description</w:t>
            </w:r>
          </w:p>
        </w:tc>
        <w:tc>
          <w:tcPr>
            <w:tcW w:type="dxa" w:w="10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Category</w:t>
            </w:r>
          </w:p>
        </w:tc>
        <w:tc>
          <w:tcPr>
            <w:tcW w:type="dxa" w:w="9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Likelihood</w:t>
            </w:r>
          </w:p>
        </w:tc>
        <w:tc>
          <w:tcPr>
            <w:tcW w:type="dxa" w:w="9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Impact</w:t>
            </w:r>
          </w:p>
        </w:tc>
        <w:tc>
          <w:tcPr>
            <w:tcW w:type="dxa" w:w="76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Score</w:t>
            </w:r>
          </w:p>
        </w:tc>
        <w:tc>
          <w:tcPr>
            <w:tcW w:type="dxa" w:w="1600"/>
            <w:tcBorders>
              <w:top w:val="single" w:color="CBD5E1" w:sz="1"/>
              <w:left w:val="single" w:color="CBD5E1" w:sz="1"/>
              <w:bottom w:val="single" w:color="CBD5E1" w:sz="1"/>
              <w:right w:val="single" w:color="CBD5E1" w:sz="1"/>
            </w:tcBorders>
            <w:shd w:fill="1F6FEB" w:val="clear"/>
            <w:tcMar>
              <w:top w:type="dxa" w:w="80"/>
              <w:left w:type="dxa" w:w="100"/>
              <w:bottom w:type="dxa" w:w="80"/>
              <w:right w:type="dxa" w:w="100"/>
            </w:tcMar>
          </w:tcPr>
          <w:p>
            <w:pPr>
              <w:jc w:val="left"/>
            </w:pPr>
            <w:r>
              <w:rPr>
                <w:rFonts w:ascii="Arial" w:cs="Arial" w:eastAsia="Arial" w:hAnsi="Arial"/>
                <w:b/>
                <w:bCs/>
                <w:color w:val="FFFFFF"/>
                <w:sz w:val="19"/>
                <w:szCs w:val="19"/>
              </w:rPr>
              <w:t xml:space="preserve">Mitigation</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R-001</w:t>
            </w:r>
          </w:p>
        </w:tc>
        <w:tc>
          <w:tcPr>
            <w:tcW w:type="dxa" w:w="25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Scope creep — unplanned features added mid-sprint</w:t>
            </w:r>
          </w:p>
        </w:tc>
        <w:tc>
          <w:tcPr>
            <w:tcW w:type="dxa" w:w="1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Scope</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76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6</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Strict backlog control; defer new features to v2.0</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React Native / Expo breaking changes between versions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Technical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76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Pin all dependency versions in package.json from Sprint 1</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R-003</w:t>
            </w:r>
          </w:p>
        </w:tc>
        <w:tc>
          <w:tcPr>
            <w:tcW w:type="dxa" w:w="25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Google Play Store rejects app submission</w:t>
            </w:r>
          </w:p>
        </w:tc>
        <w:tc>
          <w:tcPr>
            <w:tcW w:type="dxa" w:w="1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Compliance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76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3</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Follow Play policies; prepare privacy policy in Sprint 3</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Time overrun on documentation deliverables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Schedule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76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Timebox each doc; use templates; document in parallel with dev</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R-005</w:t>
            </w:r>
          </w:p>
        </w:tc>
        <w:tc>
          <w:tcPr>
            <w:tcW w:type="dxa" w:w="25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Data loss due to AsyncStorage corruption</w:t>
            </w:r>
          </w:p>
        </w:tc>
        <w:tc>
          <w:tcPr>
            <w:tcW w:type="dxa" w:w="1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Technical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76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2</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CSV export as backup; test edge cases in Sprint 3</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Android device compatibility issues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Technical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76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Test on Android 8, 10, 12 via Expo Go</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R-007</w:t>
            </w:r>
          </w:p>
        </w:tc>
        <w:tc>
          <w:tcPr>
            <w:tcW w:type="dxa" w:w="25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Chart library performance on low-end devices</w:t>
            </w:r>
          </w:p>
        </w:tc>
        <w:tc>
          <w:tcPr>
            <w:tcW w:type="dxa" w:w="1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Performance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76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2</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Use Victory Native; lazy load charts on dashboard</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R-008</w:t>
            </w:r>
          </w:p>
        </w:tc>
        <w:tc>
          <w:tcPr>
            <w:tcW w:type="dxa" w:w="25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Single developer burnout or illness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Resource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76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Realistic sprint planning with buffer days per sprint</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R-009</w:t>
            </w:r>
          </w:p>
        </w:tc>
        <w:tc>
          <w:tcPr>
            <w:tcW w:type="dxa" w:w="25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Biometric API not supported on test device</w:t>
            </w:r>
          </w:p>
        </w:tc>
        <w:tc>
          <w:tcPr>
            <w:tcW w:type="dxa" w:w="10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Technical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Low</w:t>
            </w:r>
          </w:p>
        </w:tc>
        <w:tc>
          <w:tcPr>
            <w:tcW w:type="dxa" w:w="76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2</w:t>
            </w:r>
          </w:p>
        </w:tc>
        <w:tc>
          <w:tcPr>
            <w:tcW w:type="dxa" w:w="16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Make biometric optional; PIN always available as fallback</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left"/>
            </w:pPr>
            <w:r>
              <w:rPr>
                <w:rFonts w:ascii="Arial" w:cs="Arial" w:eastAsia="Arial" w:hAnsi="Arial"/>
                <w:b/>
                <w:bCs/>
                <w:color w:val="1F6FEB"/>
                <w:sz w:val="19"/>
                <w:szCs w:val="19"/>
              </w:rPr>
              <w:t xml:space="preserve">R-010</w:t>
            </w:r>
          </w:p>
        </w:tc>
        <w:tc>
          <w:tcPr>
            <w:tcW w:type="dxa" w:w="25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Play Store developer account fee ($25) not available on time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6B7280"/>
                <w:sz w:val="19"/>
                <w:szCs w:val="19"/>
              </w:rPr>
              <w:t xml:space="preserve">Budget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6A34A"/>
                <w:sz w:val="19"/>
                <w:szCs w:val="19"/>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High</w:t>
            </w:r>
          </w:p>
        </w:tc>
        <w:tc>
          <w:tcPr>
            <w:tcW w:type="dxa" w:w="76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Budget allocated and confirmed before Sprint 1 begins</w:t>
            </w:r>
          </w:p>
        </w:tc>
      </w:tr>
    </w:tbl>
    <w:p>
      <w:pPr>
        <w:spacing w:before="0" w:after="160"/>
      </w:pPr>
      <w:r>
        <w:t xml:space="preserve"/>
      </w:r>
    </w:p>
    <w:p>
      <w:pPr>
        <w:shd w:fill="1F6FEB" w:val="clear"/>
        <w:spacing w:before="280" w:after="120"/>
        <w:ind w:left="160" w:right="160"/>
      </w:pPr>
      <w:r>
        <w:rPr>
          <w:rFonts w:ascii="Arial" w:cs="Arial" w:eastAsia="Arial" w:hAnsi="Arial"/>
          <w:b/>
          <w:bCs/>
          <w:color w:val="FFFFFF"/>
          <w:sz w:val="26"/>
          <w:szCs w:val="26"/>
        </w:rPr>
        <w:t xml:space="preserve">B4.  RISK RESPONSE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High Risk (Score 6-9)</w:t>
            </w:r>
          </w:p>
        </w:tc>
        <w:tc>
          <w:tcPr>
            <w:tcW w:type="dxa" w:w="69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R-001 — Scope creep. Requires immediate mitigation and sprint discipline.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374151"/>
                <w:sz w:val="19"/>
                <w:szCs w:val="19"/>
              </w:rPr>
              <w:t xml:space="preserve">Medium Risk (Score 3-5)</w:t>
            </w:r>
          </w:p>
        </w:tc>
        <w:tc>
          <w:tcPr>
            <w:tcW w:type="dxa" w:w="6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R-002, R-003, R-004, R-006, R-008, R-010 — Monitor each sprint; activate mitigation if triggered.</w:t>
            </w:r>
          </w:p>
        </w:tc>
      </w:tr>
      <w:tr>
        <w:tc>
          <w:tcPr>
            <w:tcW w:type="dxa" w:w="24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Low Risk (Score 1-2)</w:t>
            </w:r>
          </w:p>
        </w:tc>
        <w:tc>
          <w:tcPr>
            <w:tcW w:type="dxa" w:w="69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R-005, R-007, R-009 — Monitor passively; no immediate action required.</w:t>
            </w:r>
          </w:p>
        </w:tc>
      </w:tr>
    </w:tbl>
    <w:p>
      <w:pPr>
        <w:spacing w:before="0" w:after="120"/>
      </w:pPr>
      <w:r>
        <w:t xml:space="preserve"/>
      </w:r>
    </w:p>
    <w:p>
      <w:pPr>
        <w:shd w:fill="1F6FEB" w:val="clear"/>
        <w:spacing w:before="280" w:after="120"/>
        <w:ind w:left="160" w:right="160"/>
      </w:pPr>
      <w:r>
        <w:rPr>
          <w:rFonts w:ascii="Arial" w:cs="Arial" w:eastAsia="Arial" w:hAnsi="Arial"/>
          <w:b/>
          <w:bCs/>
          <w:color w:val="FFFFFF"/>
          <w:sz w:val="26"/>
          <w:szCs w:val="26"/>
        </w:rPr>
        <w:t xml:space="preserve">B5.  REVIEW SCHEDULE</w:t>
      </w:r>
    </w:p>
    <w:p>
      <w:pPr>
        <w:spacing w:before="0" w:after="80"/>
      </w:pPr>
      <w:r>
        <w:t xml:space="preserve"/>
      </w:r>
    </w:p>
    <w:p>
      <w:pPr>
        <w:spacing w:before="60" w:after="60"/>
        <w:ind w:left="160"/>
      </w:pPr>
      <w:r>
        <w:rPr>
          <w:rFonts w:ascii="Arial" w:cs="Arial" w:eastAsia="Arial" w:hAnsi="Arial"/>
          <w:color w:val="0D1117"/>
          <w:sz w:val="22"/>
          <w:szCs w:val="22"/>
        </w:rPr>
        <w:t xml:space="preserve">The Risk Register is reviewed at the start of each sprint planning session. New risks are added with the next sequential ID. Resolved risks are marked Closed with the resolution date. The register remains a living document until project closure.</w:t>
      </w:r>
    </w:p>
    <w:p>
      <w:r>
        <w:br w:type="page"/>
      </w:r>
    </w:p>
    <w:p>
      <w:pPr>
        <w:shd w:fill="1F6FEB" w:val="clear"/>
        <w:spacing w:before="280" w:after="120"/>
        <w:ind w:left="160" w:right="160"/>
      </w:pPr>
      <w:r>
        <w:rPr>
          <w:rFonts w:ascii="Arial" w:cs="Arial" w:eastAsia="Arial" w:hAnsi="Arial"/>
          <w:b/>
          <w:bCs/>
          <w:color w:val="FFFFFF"/>
          <w:sz w:val="26"/>
          <w:szCs w:val="26"/>
        </w:rPr>
        <w:t xml:space="preserve">APPROVAL &amp; SIGN-OFF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Prepared By</w:t>
            </w:r>
          </w:p>
        </w:tc>
        <w:tc>
          <w:tcPr>
            <w:tcW w:type="dxa" w:w="65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Nandun De Silva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374151"/>
                <w:sz w:val="19"/>
                <w:szCs w:val="19"/>
              </w:rPr>
              <w:t xml:space="preserve">Role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Project Manager &amp; Business Analyst</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Date</w:t>
            </w:r>
          </w:p>
        </w:tc>
        <w:tc>
          <w:tcPr>
            <w:tcW w:type="dxa" w:w="65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March 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bCs/>
                <w:color w:val="374151"/>
                <w:sz w:val="19"/>
                <w:szCs w:val="19"/>
              </w:rPr>
              <w:t xml:space="preserve">Sprint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Sprint 1 — Initiation &amp; Planning</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bCs/>
                <w:color w:val="374151"/>
                <w:sz w:val="19"/>
                <w:szCs w:val="19"/>
              </w:rPr>
              <w:t xml:space="preserve">Status</w:t>
            </w:r>
          </w:p>
        </w:tc>
        <w:tc>
          <w:tcPr>
            <w:tcW w:type="dxa" w:w="6560"/>
            <w:tcBorders>
              <w:top w:val="single" w:color="CBD5E1" w:sz="1"/>
              <w:left w:val="single" w:color="CBD5E1" w:sz="1"/>
              <w:bottom w:val="single" w:color="CBD5E1" w:sz="1"/>
              <w:right w:val="single" w:color="CBD5E1" w:sz="1"/>
            </w:tcBorders>
            <w:shd w:fill="F6F8FA" w:val="clear"/>
            <w:tcMar>
              <w:top w:type="dxa" w:w="80"/>
              <w:left w:type="dxa" w:w="100"/>
              <w:bottom w:type="dxa" w:w="80"/>
              <w:right w:type="dxa" w:w="100"/>
            </w:tcMar>
          </w:tcPr>
          <w:p>
            <w:pPr>
              <w:jc w:val="left"/>
            </w:pPr>
            <w:r>
              <w:rPr>
                <w:rFonts w:ascii="Arial" w:cs="Arial" w:eastAsia="Arial" w:hAnsi="Arial"/>
                <w:b w:val="false"/>
                <w:bCs w:val="false"/>
                <w:color w:val="0D1117"/>
                <w:sz w:val="19"/>
                <w:szCs w:val="19"/>
              </w:rPr>
              <w:t xml:space="preserve">Active — reviewed each sprint</w:t>
            </w:r>
          </w:p>
        </w:tc>
      </w:tr>
    </w:tbl>
    <w:p>
      <w:pPr>
        <w:spacing w:before="0" w:after="240"/>
      </w:pPr>
      <w:r>
        <w:t xml:space="preserve"/>
      </w:r>
    </w:p>
    <w:p>
      <w:pPr>
        <w:spacing w:before="60" w:after="60"/>
        <w:ind w:left="160"/>
      </w:pPr>
      <w:r>
        <w:rPr>
          <w:rFonts w:ascii="Arial" w:cs="Arial" w:eastAsia="Arial" w:hAnsi="Arial"/>
          <w:i/>
          <w:iCs/>
          <w:color w:val="6B7280"/>
          <w:sz w:val="22"/>
          <w:szCs w:val="22"/>
        </w:rPr>
        <w:t xml:space="preserve">This document will remain a living record throughout the project. All risks and stakeholders are acknowledged, and appropriate engagement and mitigation strategies are in place.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Arial" w:cs="Arial" w:eastAsia="Arial" w:hAnsi="Arial"/>
        <w:color w:val="9CA3AF"/>
        <w:sz w:val="18"/>
        <w:szCs w:val="18"/>
      </w:rPr>
      <w:t xml:space="preserve">Confidential  —  Nandun De Silva  |  Spendly Sprint 1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1"/>
      </w:pBdr>
      <w:spacing w:after="0"/>
    </w:pPr>
    <w:r>
      <w:rPr>
        <w:rFonts w:ascii="Arial" w:cs="Arial" w:eastAsia="Arial" w:hAnsi="Arial"/>
        <w:color w:val="6B7280"/>
        <w:sz w:val="18"/>
        <w:szCs w:val="18"/>
      </w:rPr>
      <w:t xml:space="preserve">SPENDLY  |  Stakeholder Register &amp; Risk Register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2026-03-03T16:47:18.585Z</dcterms:created>
  <dcterms:modified xsi:type="dcterms:W3CDTF">2026-03-03T16:47:18.586Z</dcterms:modified>
</cp:coreProperties>
</file>

<file path=docProps/custom.xml><?xml version="1.0" encoding="utf-8"?>
<Properties xmlns="http://schemas.openxmlformats.org/officeDocument/2006/custom-properties" xmlns:vt="http://schemas.openxmlformats.org/officeDocument/2006/docPropsVTypes"/>
</file>