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A7" w:rsidRDefault="0093638C">
      <w:r>
        <w:t>12/23/2017</w:t>
      </w:r>
    </w:p>
    <w:p w:rsidR="0093638C" w:rsidRPr="0093638C" w:rsidRDefault="0093638C" w:rsidP="0093638C">
      <w:pPr>
        <w:shd w:val="clear" w:color="auto" w:fill="FAFAFA"/>
        <w:spacing w:after="230" w:line="415" w:lineRule="atLeast"/>
        <w:outlineLvl w:val="0"/>
        <w:rPr>
          <w:rFonts w:ascii="Arial" w:eastAsia="Times New Roman" w:hAnsi="Arial" w:cs="Arial"/>
          <w:color w:val="333333"/>
          <w:kern w:val="36"/>
          <w:sz w:val="37"/>
          <w:szCs w:val="37"/>
          <w:lang w:eastAsia="en-IN"/>
        </w:rPr>
      </w:pPr>
      <w:r w:rsidRPr="0093638C">
        <w:rPr>
          <w:rFonts w:ascii="Arial" w:eastAsia="Times New Roman" w:hAnsi="Arial" w:cs="Arial"/>
          <w:color w:val="333333"/>
          <w:kern w:val="36"/>
          <w:sz w:val="37"/>
          <w:szCs w:val="37"/>
          <w:lang w:eastAsia="en-IN"/>
        </w:rPr>
        <w:t>Features and Polynomial Regression</w:t>
      </w:r>
    </w:p>
    <w:p w:rsidR="0093638C" w:rsidRPr="0093638C" w:rsidRDefault="0093638C" w:rsidP="0093638C">
      <w:pPr>
        <w:shd w:val="clear" w:color="auto" w:fill="FAFAFA"/>
        <w:spacing w:after="23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We can improve our features and the form of our hypothesis function in a couple different ways.</w:t>
      </w:r>
    </w:p>
    <w:p w:rsidR="0093638C" w:rsidRPr="0093638C" w:rsidRDefault="0093638C" w:rsidP="0093638C">
      <w:pPr>
        <w:shd w:val="clear" w:color="auto" w:fill="FAFAFA"/>
        <w:spacing w:after="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We can </w:t>
      </w:r>
      <w:r w:rsidRPr="0093638C">
        <w:rPr>
          <w:rFonts w:ascii="Arial" w:eastAsia="Times New Roman" w:hAnsi="Arial" w:cs="Arial"/>
          <w:b/>
          <w:bCs/>
          <w:color w:val="333333"/>
          <w:sz w:val="16"/>
          <w:lang w:eastAsia="en-IN"/>
        </w:rPr>
        <w:t>combine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multiple features into one. For example, we can combine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and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into a new feature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3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by taking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Cambria Math" w:eastAsia="Times New Roman" w:hAnsi="Cambria Math" w:cs="Cambria Math"/>
          <w:color w:val="333333"/>
          <w:sz w:val="16"/>
          <w:szCs w:val="16"/>
          <w:lang w:eastAsia="en-IN"/>
        </w:rPr>
        <w:t>⋅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.</w:t>
      </w:r>
    </w:p>
    <w:p w:rsidR="0093638C" w:rsidRPr="0093638C" w:rsidRDefault="0093638C" w:rsidP="0093638C">
      <w:pPr>
        <w:shd w:val="clear" w:color="auto" w:fill="FAFAFA"/>
        <w:spacing w:before="415" w:after="138" w:line="276" w:lineRule="atLeast"/>
        <w:outlineLvl w:val="2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93638C">
        <w:rPr>
          <w:rFonts w:ascii="Arial" w:eastAsia="Times New Roman" w:hAnsi="Arial" w:cs="Arial"/>
          <w:b/>
          <w:bCs/>
          <w:color w:val="333333"/>
          <w:sz w:val="18"/>
          <w:lang w:eastAsia="en-IN"/>
        </w:rPr>
        <w:t>Polynomial Regression</w:t>
      </w:r>
    </w:p>
    <w:p w:rsidR="0093638C" w:rsidRPr="0093638C" w:rsidRDefault="0093638C" w:rsidP="0093638C">
      <w:pPr>
        <w:shd w:val="clear" w:color="auto" w:fill="FAFAFA"/>
        <w:spacing w:after="23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Our hypothesis function need not be linear (a straight line) if that does not fit the data well.</w:t>
      </w:r>
    </w:p>
    <w:p w:rsidR="0093638C" w:rsidRPr="0093638C" w:rsidRDefault="0093638C" w:rsidP="0093638C">
      <w:pPr>
        <w:shd w:val="clear" w:color="auto" w:fill="FAFAFA"/>
        <w:spacing w:after="23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We can </w:t>
      </w:r>
      <w:r w:rsidRPr="0093638C">
        <w:rPr>
          <w:rFonts w:ascii="Arial" w:eastAsia="Times New Roman" w:hAnsi="Arial" w:cs="Arial"/>
          <w:b/>
          <w:bCs/>
          <w:color w:val="333333"/>
          <w:sz w:val="16"/>
          <w:lang w:eastAsia="en-IN"/>
        </w:rPr>
        <w:t xml:space="preserve">change the </w:t>
      </w:r>
      <w:proofErr w:type="spellStart"/>
      <w:r w:rsidRPr="0093638C">
        <w:rPr>
          <w:rFonts w:ascii="Arial" w:eastAsia="Times New Roman" w:hAnsi="Arial" w:cs="Arial"/>
          <w:b/>
          <w:bCs/>
          <w:color w:val="333333"/>
          <w:sz w:val="16"/>
          <w:lang w:eastAsia="en-IN"/>
        </w:rPr>
        <w:t>behavior</w:t>
      </w:r>
      <w:proofErr w:type="spellEnd"/>
      <w:r w:rsidRPr="0093638C">
        <w:rPr>
          <w:rFonts w:ascii="Arial" w:eastAsia="Times New Roman" w:hAnsi="Arial" w:cs="Arial"/>
          <w:b/>
          <w:bCs/>
          <w:color w:val="333333"/>
          <w:sz w:val="16"/>
          <w:lang w:eastAsia="en-IN"/>
        </w:rPr>
        <w:t xml:space="preserve"> or curve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of our hypothesis function by making it a quadratic, cubic or square root function (or any other form).</w:t>
      </w:r>
    </w:p>
    <w:p w:rsidR="0093638C" w:rsidRPr="0093638C" w:rsidRDefault="0093638C" w:rsidP="0093638C">
      <w:pPr>
        <w:shd w:val="clear" w:color="auto" w:fill="FAFAFA"/>
        <w:spacing w:after="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For example, if our hypothesis function is </w:t>
      </w:r>
      <w:proofErr w:type="spellStart"/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h</w:t>
      </w:r>
      <w:r w:rsidRPr="0093638C">
        <w:rPr>
          <w:rFonts w:ascii="MathJax_Math" w:eastAsia="Times New Roman" w:hAnsi="MathJax_Math" w:cs="Arial"/>
          <w:i/>
          <w:iCs/>
          <w:color w:val="333333"/>
          <w:sz w:val="14"/>
          <w:lang w:eastAsia="en-IN"/>
        </w:rPr>
        <w:t>θ</w:t>
      </w:r>
      <w:proofErr w:type="spellEnd"/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(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proofErr w:type="gramStart"/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)=</w:t>
      </w:r>
      <w:proofErr w:type="gramEnd"/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0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then we can create additional features based on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, to get the quadratic function </w:t>
      </w:r>
      <w:proofErr w:type="spellStart"/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h</w:t>
      </w:r>
      <w:r w:rsidRPr="0093638C">
        <w:rPr>
          <w:rFonts w:ascii="MathJax_Math" w:eastAsia="Times New Roman" w:hAnsi="MathJax_Math" w:cs="Arial"/>
          <w:i/>
          <w:iCs/>
          <w:color w:val="333333"/>
          <w:sz w:val="14"/>
          <w:lang w:eastAsia="en-IN"/>
        </w:rPr>
        <w:t>θ</w:t>
      </w:r>
      <w:proofErr w:type="spellEnd"/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(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)=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0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or the cubic function </w:t>
      </w:r>
      <w:proofErr w:type="spellStart"/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h</w:t>
      </w:r>
      <w:r w:rsidRPr="0093638C">
        <w:rPr>
          <w:rFonts w:ascii="MathJax_Math" w:eastAsia="Times New Roman" w:hAnsi="MathJax_Math" w:cs="Arial"/>
          <w:i/>
          <w:iCs/>
          <w:color w:val="333333"/>
          <w:sz w:val="14"/>
          <w:lang w:eastAsia="en-IN"/>
        </w:rPr>
        <w:t>θ</w:t>
      </w:r>
      <w:proofErr w:type="spellEnd"/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(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)=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0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21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3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31</w:t>
      </w:r>
    </w:p>
    <w:p w:rsidR="0093638C" w:rsidRPr="0093638C" w:rsidRDefault="0093638C" w:rsidP="0093638C">
      <w:pPr>
        <w:shd w:val="clear" w:color="auto" w:fill="FAFAFA"/>
        <w:spacing w:after="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In the cubic version, we have created new features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and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3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where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=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and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3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=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31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.</w:t>
      </w:r>
    </w:p>
    <w:p w:rsidR="0093638C" w:rsidRPr="0093638C" w:rsidRDefault="0093638C" w:rsidP="0093638C">
      <w:pPr>
        <w:shd w:val="clear" w:color="auto" w:fill="FAFAFA"/>
        <w:spacing w:after="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To make it a square root function, we could do: </w:t>
      </w:r>
      <w:proofErr w:type="spellStart"/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h</w:t>
      </w:r>
      <w:r w:rsidRPr="0093638C">
        <w:rPr>
          <w:rFonts w:ascii="MathJax_Math" w:eastAsia="Times New Roman" w:hAnsi="MathJax_Math" w:cs="Arial"/>
          <w:i/>
          <w:iCs/>
          <w:color w:val="333333"/>
          <w:sz w:val="14"/>
          <w:lang w:eastAsia="en-IN"/>
        </w:rPr>
        <w:t>θ</w:t>
      </w:r>
      <w:proofErr w:type="spellEnd"/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(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proofErr w:type="gramStart"/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)=</w:t>
      </w:r>
      <w:proofErr w:type="gramEnd"/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0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+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θ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MathJax_Main" w:eastAsia="Times New Roman" w:hAnsi="MathJax_Main" w:cs="Arial"/>
          <w:color w:val="333333"/>
          <w:sz w:val="20"/>
          <w:lang w:eastAsia="en-IN"/>
        </w:rPr>
        <w:t>−−√</w:t>
      </w:r>
    </w:p>
    <w:p w:rsidR="0093638C" w:rsidRPr="0093638C" w:rsidRDefault="0093638C" w:rsidP="0093638C">
      <w:pPr>
        <w:shd w:val="clear" w:color="auto" w:fill="FAFAFA"/>
        <w:spacing w:after="230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One important thing to keep in mind is</w:t>
      </w:r>
      <w:proofErr w:type="gramStart"/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,</w:t>
      </w:r>
      <w:proofErr w:type="gramEnd"/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 if you choose your features this way then feature scaling becomes very important.</w:t>
      </w:r>
    </w:p>
    <w:p w:rsidR="0093638C" w:rsidRPr="0093638C" w:rsidRDefault="0093638C" w:rsidP="0093638C">
      <w:pPr>
        <w:shd w:val="clear" w:color="auto" w:fill="FAFAFA"/>
        <w:spacing w:after="0" w:afterAutospacing="1" w:line="230" w:lineRule="atLeast"/>
        <w:rPr>
          <w:rFonts w:ascii="Arial" w:eastAsia="Times New Roman" w:hAnsi="Arial" w:cs="Arial"/>
          <w:color w:val="333333"/>
          <w:sz w:val="16"/>
          <w:szCs w:val="16"/>
          <w:lang w:eastAsia="en-IN"/>
        </w:rPr>
      </w:pPr>
      <w:proofErr w:type="spellStart"/>
      <w:proofErr w:type="gramStart"/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eg</w:t>
      </w:r>
      <w:proofErr w:type="spellEnd"/>
      <w:proofErr w:type="gramEnd"/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 xml:space="preserve">. </w:t>
      </w:r>
      <w:proofErr w:type="gramStart"/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if</w:t>
      </w:r>
      <w:proofErr w:type="gramEnd"/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has range 1 - 1000 then range of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21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becomes 1 - 1000000 and that of </w:t>
      </w:r>
      <w:r w:rsidRPr="0093638C">
        <w:rPr>
          <w:rFonts w:ascii="MathJax_Math" w:eastAsia="Times New Roman" w:hAnsi="MathJax_Math" w:cs="Arial"/>
          <w:i/>
          <w:iCs/>
          <w:color w:val="333333"/>
          <w:sz w:val="20"/>
          <w:lang w:eastAsia="en-IN"/>
        </w:rPr>
        <w:t>x</w:t>
      </w:r>
      <w:r w:rsidRPr="0093638C">
        <w:rPr>
          <w:rFonts w:ascii="MathJax_Main" w:eastAsia="Times New Roman" w:hAnsi="MathJax_Main" w:cs="Arial"/>
          <w:color w:val="333333"/>
          <w:sz w:val="14"/>
          <w:lang w:eastAsia="en-IN"/>
        </w:rPr>
        <w:t>31</w:t>
      </w:r>
      <w:r w:rsidRPr="0093638C">
        <w:rPr>
          <w:rFonts w:ascii="Arial" w:eastAsia="Times New Roman" w:hAnsi="Arial" w:cs="Arial"/>
          <w:color w:val="333333"/>
          <w:sz w:val="16"/>
          <w:szCs w:val="16"/>
          <w:lang w:eastAsia="en-IN"/>
        </w:rPr>
        <w:t> becomes 1 - 1000000000</w:t>
      </w:r>
    </w:p>
    <w:p w:rsidR="0093638C" w:rsidRDefault="0093638C"/>
    <w:sectPr w:rsidR="0093638C" w:rsidSect="00DC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3638C"/>
    <w:rsid w:val="00074EF0"/>
    <w:rsid w:val="0093638C"/>
    <w:rsid w:val="00DC2728"/>
    <w:rsid w:val="00DC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A6"/>
  </w:style>
  <w:style w:type="paragraph" w:styleId="Heading1">
    <w:name w:val="heading 1"/>
    <w:basedOn w:val="Normal"/>
    <w:link w:val="Heading1Char"/>
    <w:uiPriority w:val="9"/>
    <w:qFormat/>
    <w:rsid w:val="00936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36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63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638C"/>
    <w:rPr>
      <w:b/>
      <w:bCs/>
    </w:rPr>
  </w:style>
  <w:style w:type="character" w:customStyle="1" w:styleId="mi">
    <w:name w:val="mi"/>
    <w:basedOn w:val="DefaultParagraphFont"/>
    <w:rsid w:val="0093638C"/>
  </w:style>
  <w:style w:type="character" w:customStyle="1" w:styleId="mn">
    <w:name w:val="mn"/>
    <w:basedOn w:val="DefaultParagraphFont"/>
    <w:rsid w:val="0093638C"/>
  </w:style>
  <w:style w:type="character" w:customStyle="1" w:styleId="mo">
    <w:name w:val="mo"/>
    <w:basedOn w:val="DefaultParagraphFont"/>
    <w:rsid w:val="0093638C"/>
  </w:style>
  <w:style w:type="character" w:customStyle="1" w:styleId="msqrt">
    <w:name w:val="msqrt"/>
    <w:basedOn w:val="DefaultParagraphFont"/>
    <w:rsid w:val="00936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2017-12-24T00:41:00Z</dcterms:created>
  <dcterms:modified xsi:type="dcterms:W3CDTF">2017-12-24T00:42:00Z</dcterms:modified>
</cp:coreProperties>
</file>