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3D7A"/>
        </w:rPr>
        <w:t>EGP Window — Friday Demo Brief</w:t>
      </w:r>
    </w:p>
    <w:p>
      <w:r>
        <w:t>Audience: M42 (customer) — technical + architectural</w:t>
      </w:r>
    </w:p>
    <w:p>
      <w:r>
        <w:t>Duration: 30–45 min   |   Presenter: Vijay   |   Date: Friday 2026-07-17</w:t>
      </w:r>
    </w:p>
    <w:p>
      <w:r>
        <w:t>Repo: https://github.com/nandyap/EPG-MAF   |   Tag: w11-cutover (ee6204d)</w:t>
      </w:r>
    </w:p>
    <w:p>
      <w:pPr>
        <w:pStyle w:val="Heading1"/>
      </w:pPr>
      <w:r>
        <w:rPr>
          <w:color w:val="0F3D7A"/>
        </w:rPr>
        <w:t>0. Elevator Pitch (30 sec)</w:t>
      </w:r>
    </w:p>
    <w:p>
      <w:r>
        <w:t>We have ported the customer's LangGraph clinical-genomics prototype to Microsoft Agent Framework (MAF) on Azure. All 11 workstreams are complete (421 unit tests passing), the HTTP surface is browsable locally via Swagger UI today, and the system is ready for a Compass key + Azure subscription to move from stub to live. Six open questions await customer answers — captured in epg-maf/docs/blockers.md.</w:t>
      </w:r>
    </w:p>
    <w:p>
      <w:pPr>
        <w:pStyle w:val="Heading1"/>
      </w:pPr>
      <w:r>
        <w:rPr>
          <w:color w:val="0F3D7A"/>
        </w:rPr>
        <w:t>1. Agenda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Time</w:t>
            </w:r>
          </w:p>
        </w:tc>
        <w:tc>
          <w:tcPr>
            <w:tcW w:type="dxa" w:w="2880"/>
          </w:tcPr>
          <w:p>
            <w:r>
              <w:rPr>
                <w:b/>
              </w:rPr>
              <w:t>Section</w:t>
            </w:r>
          </w:p>
        </w:tc>
      </w:tr>
      <w:tr>
        <w:tc>
          <w:tcPr>
            <w:tcW w:type="dxa" w:w="2880"/>
          </w:tcPr>
          <w:p>
            <w:r>
              <w:t>1</w:t>
            </w:r>
          </w:p>
        </w:tc>
        <w:tc>
          <w:tcPr>
            <w:tcW w:type="dxa" w:w="2880"/>
          </w:tcPr>
          <w:p>
            <w:r>
              <w:t>5 min</w:t>
            </w:r>
          </w:p>
        </w:tc>
        <w:tc>
          <w:tcPr>
            <w:tcW w:type="dxa" w:w="2880"/>
          </w:tcPr>
          <w:p>
            <w:r>
              <w:t>The problem &amp; why MAF</w:t>
            </w:r>
          </w:p>
        </w:tc>
      </w:tr>
      <w:tr>
        <w:tc>
          <w:tcPr>
            <w:tcW w:type="dxa" w:w="2880"/>
          </w:tcPr>
          <w:p>
            <w:r>
              <w:t>2</w:t>
            </w:r>
          </w:p>
        </w:tc>
        <w:tc>
          <w:tcPr>
            <w:tcW w:type="dxa" w:w="2880"/>
          </w:tcPr>
          <w:p>
            <w:r>
              <w:t>5 min</w:t>
            </w:r>
          </w:p>
        </w:tc>
        <w:tc>
          <w:tcPr>
            <w:tcW w:type="dxa" w:w="2880"/>
          </w:tcPr>
          <w:p>
            <w:r>
              <w:t>Architecture overview</w:t>
            </w:r>
          </w:p>
        </w:tc>
      </w:tr>
      <w:tr>
        <w:tc>
          <w:tcPr>
            <w:tcW w:type="dxa" w:w="2880"/>
          </w:tcPr>
          <w:p>
            <w:r>
              <w:t>3</w:t>
            </w:r>
          </w:p>
        </w:tc>
        <w:tc>
          <w:tcPr>
            <w:tcW w:type="dxa" w:w="2880"/>
          </w:tcPr>
          <w:p>
            <w:r>
              <w:t>10 min</w:t>
            </w:r>
          </w:p>
        </w:tc>
        <w:tc>
          <w:tcPr>
            <w:tcW w:type="dxa" w:w="2880"/>
          </w:tcPr>
          <w:p>
            <w:r>
              <w:t>Live demo (Swagger UI)</w:t>
            </w:r>
          </w:p>
        </w:tc>
      </w:tr>
      <w:tr>
        <w:tc>
          <w:tcPr>
            <w:tcW w:type="dxa" w:w="2880"/>
          </w:tcPr>
          <w:p>
            <w:r>
              <w:t>4</w:t>
            </w:r>
          </w:p>
        </w:tc>
        <w:tc>
          <w:tcPr>
            <w:tcW w:type="dxa" w:w="2880"/>
          </w:tcPr>
          <w:p>
            <w:r>
              <w:t>10 min</w:t>
            </w:r>
          </w:p>
        </w:tc>
        <w:tc>
          <w:tcPr>
            <w:tcW w:type="dxa" w:w="2880"/>
          </w:tcPr>
          <w:p>
            <w:r>
              <w:t>MAF components we use &amp; why</w:t>
            </w:r>
          </w:p>
        </w:tc>
      </w:tr>
      <w:tr>
        <w:tc>
          <w:tcPr>
            <w:tcW w:type="dxa" w:w="2880"/>
          </w:tcPr>
          <w:p>
            <w:r>
              <w:t>5</w:t>
            </w:r>
          </w:p>
        </w:tc>
        <w:tc>
          <w:tcPr>
            <w:tcW w:type="dxa" w:w="2880"/>
          </w:tcPr>
          <w:p>
            <w:r>
              <w:t>5 min</w:t>
            </w:r>
          </w:p>
        </w:tc>
        <w:tc>
          <w:tcPr>
            <w:tcW w:type="dxa" w:w="2880"/>
          </w:tcPr>
          <w:p>
            <w:r>
              <w:t>Parallel vs. sequential dispatch toggle</w:t>
            </w:r>
          </w:p>
        </w:tc>
      </w:tr>
      <w:tr>
        <w:tc>
          <w:tcPr>
            <w:tcW w:type="dxa" w:w="2880"/>
          </w:tcPr>
          <w:p>
            <w:r>
              <w:t>6</w:t>
            </w:r>
          </w:p>
        </w:tc>
        <w:tc>
          <w:tcPr>
            <w:tcW w:type="dxa" w:w="2880"/>
          </w:tcPr>
          <w:p>
            <w:r>
              <w:t>5 min</w:t>
            </w:r>
          </w:p>
        </w:tc>
        <w:tc>
          <w:tcPr>
            <w:tcW w:type="dxa" w:w="2880"/>
          </w:tcPr>
          <w:p>
            <w:r>
              <w:t>What's shipped vs. what's blocked</w:t>
            </w:r>
          </w:p>
        </w:tc>
      </w:tr>
      <w:tr>
        <w:tc>
          <w:tcPr>
            <w:tcW w:type="dxa" w:w="2880"/>
          </w:tcPr>
          <w:p>
            <w:r>
              <w:t>7</w:t>
            </w:r>
          </w:p>
        </w:tc>
        <w:tc>
          <w:tcPr>
            <w:tcW w:type="dxa" w:w="2880"/>
          </w:tcPr>
          <w:p>
            <w:r>
              <w:t>5 min</w:t>
            </w:r>
          </w:p>
        </w:tc>
        <w:tc>
          <w:tcPr>
            <w:tcW w:type="dxa" w:w="2880"/>
          </w:tcPr>
          <w:p>
            <w:r>
              <w:t>What we need from M42 (Q&amp;A)</w:t>
            </w:r>
          </w:p>
        </w:tc>
      </w:tr>
    </w:tbl>
    <w:p/>
    <w:p>
      <w:pPr>
        <w:pStyle w:val="Heading1"/>
      </w:pPr>
      <w:r>
        <w:rPr>
          <w:color w:val="0F3D7A"/>
        </w:rPr>
        <w:t>2. The Problem (5 min)</w:t>
      </w:r>
    </w:p>
    <w:p>
      <w:r>
        <w:t>A clinical genomics decision-support agent. A clinician (or patient) asks a natural-language question about a single patient's genomic + clinical data. The agent must:</w:t>
      </w:r>
    </w:p>
    <w:p>
      <w:pPr>
        <w:pStyle w:val="ListBullet"/>
      </w:pPr>
      <w:r>
        <w:t>Route the question to the right specialist(s): PRS, Genomic Variants, Family History, PGx, Phenotype.</w:t>
      </w:r>
    </w:p>
    <w:p>
      <w:pPr>
        <w:pStyle w:val="ListBullet"/>
      </w:pPr>
      <w:r>
        <w:t>Call the relevant tools against a curated clinical database (Postgres in prod, DuckDB seed for tests).</w:t>
      </w:r>
    </w:p>
    <w:p>
      <w:pPr>
        <w:pStyle w:val="ListBullet"/>
      </w:pPr>
      <w:r>
        <w:t>Synthesise a clinically defensible answer with structured provenance.</w:t>
      </w:r>
    </w:p>
    <w:p>
      <w:pPr>
        <w:pStyle w:val="ListBullet"/>
      </w:pPr>
      <w:r>
        <w:t>Enforce strict single-patient scope + PHI redaction + auditable trail.</w:t>
      </w:r>
    </w:p>
    <w:p>
      <w:r>
        <w:t>Prototype today: LangGraph — single-process, no auth, no observability budget, no resilience/retry, no clinical audit sink, no production topology.</w:t>
      </w:r>
    </w:p>
    <w:p>
      <w:r>
        <w:t>What we built: the same workflow reimplemented on MAF with Azure-native infrastructure, defence-in-depth, and full enterprise observability.</w:t>
      </w:r>
    </w:p>
    <w:p>
      <w:pPr>
        <w:pStyle w:val="Heading1"/>
      </w:pPr>
      <w:r>
        <w:rPr>
          <w:color w:val="0F3D7A"/>
        </w:rPr>
        <w:t>3. Architecture Overview (5 min)</w:t>
      </w:r>
    </w:p>
    <w:p>
      <w:pPr>
        <w:pStyle w:val="Heading2"/>
      </w:pPr>
      <w:r>
        <w:rPr>
          <w:color w:val="0F3D7A"/>
        </w:rPr>
        <w:t>3.1 Runtime topology (production)</w:t>
      </w:r>
    </w:p>
    <w:p>
      <w:r>
        <w:t>Client → Azure Front Door (WAF) → APIM (retry + circuit-breaker) → Container Apps (FastAPI) → auth → workflow_runtime.run → ChatWorkflow → OrchestrationWorkflow → specialists → Postgres/Cosmos/Compass/Foundry.</w:t>
      </w:r>
    </w:p>
    <w:p>
      <w:pPr>
        <w:pStyle w:val="Heading2"/>
      </w:pPr>
      <w:r>
        <w:rPr>
          <w:color w:val="0F3D7A"/>
        </w:rPr>
        <w:t>3.2 Chat vs. orchestration sub-workflow</w:t>
      </w:r>
    </w:p>
    <w:p>
      <w:pPr>
        <w:pStyle w:val="ListBullet"/>
      </w:pPr>
      <w:r>
        <w:t>ChatWorkflow: decides whether the question needs clinical data. If not, synthesise reply directly.</w:t>
      </w:r>
    </w:p>
    <w:p>
      <w:pPr>
        <w:pStyle w:val="ListBullet"/>
      </w:pPr>
      <w:r>
        <w:t>OrchestrationWorkflow: bounded loop (orch_router → dispatcher → specialists → joiner → orch_router) with iteration budget = 12.</w:t>
      </w:r>
    </w:p>
    <w:p>
      <w:pPr>
        <w:pStyle w:val="Heading2"/>
      </w:pPr>
      <w:r>
        <w:rPr>
          <w:color w:val="0F3D7A"/>
        </w:rPr>
        <w:t>3.3 What each specialist does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Specialist</w:t>
            </w:r>
          </w:p>
        </w:tc>
        <w:tc>
          <w:tcPr>
            <w:tcW w:type="dxa" w:w="2160"/>
          </w:tcPr>
          <w:p>
            <w:r>
              <w:rPr>
                <w:b/>
              </w:rPr>
              <w:t>Domain</w:t>
            </w:r>
          </w:p>
        </w:tc>
        <w:tc>
          <w:tcPr>
            <w:tcW w:type="dxa" w:w="2160"/>
          </w:tcPr>
          <w:p>
            <w:r>
              <w:rPr>
                <w:b/>
              </w:rPr>
              <w:t>Example tool</w:t>
            </w:r>
          </w:p>
        </w:tc>
        <w:tc>
          <w:tcPr>
            <w:tcW w:type="dxa" w:w="2160"/>
          </w:tcPr>
          <w:p>
            <w:r>
              <w:rPr>
                <w:b/>
              </w:rPr>
              <w:t>Result schema</w:t>
            </w:r>
          </w:p>
        </w:tc>
      </w:tr>
      <w:tr>
        <w:tc>
          <w:tcPr>
            <w:tcW w:type="dxa" w:w="2160"/>
          </w:tcPr>
          <w:p>
            <w:r>
              <w:t>PRS</w:t>
            </w:r>
          </w:p>
        </w:tc>
        <w:tc>
          <w:tcPr>
            <w:tcW w:type="dxa" w:w="2160"/>
          </w:tcPr>
          <w:p>
            <w:r>
              <w:t>Polygenic risk scores</w:t>
            </w:r>
          </w:p>
        </w:tc>
        <w:tc>
          <w:tcPr>
            <w:tcW w:type="dxa" w:w="2160"/>
          </w:tcPr>
          <w:p>
            <w:r>
              <w:t>get_patient_prs, search_prs_annotations</w:t>
            </w:r>
          </w:p>
        </w:tc>
        <w:tc>
          <w:tcPr>
            <w:tcW w:type="dxa" w:w="2160"/>
          </w:tcPr>
          <w:p>
            <w:r>
              <w:t>PRSResultList</w:t>
            </w:r>
          </w:p>
        </w:tc>
      </w:tr>
      <w:tr>
        <w:tc>
          <w:tcPr>
            <w:tcW w:type="dxa" w:w="2160"/>
          </w:tcPr>
          <w:p>
            <w:r>
              <w:t>Genomic Variants</w:t>
            </w:r>
          </w:p>
        </w:tc>
        <w:tc>
          <w:tcPr>
            <w:tcW w:type="dxa" w:w="2160"/>
          </w:tcPr>
          <w:p>
            <w:r>
              <w:t>Variant calls + annotations</w:t>
            </w:r>
          </w:p>
        </w:tc>
        <w:tc>
          <w:tcPr>
            <w:tcW w:type="dxa" w:w="2160"/>
          </w:tcPr>
          <w:p>
            <w:r>
              <w:t>get_patient_variants, search_variant_annotations</w:t>
            </w:r>
          </w:p>
        </w:tc>
        <w:tc>
          <w:tcPr>
            <w:tcW w:type="dxa" w:w="2160"/>
          </w:tcPr>
          <w:p>
            <w:r>
              <w:t>VariantResultList</w:t>
            </w:r>
          </w:p>
        </w:tc>
      </w:tr>
      <w:tr>
        <w:tc>
          <w:tcPr>
            <w:tcW w:type="dxa" w:w="2160"/>
          </w:tcPr>
          <w:p>
            <w:r>
              <w:t>Family History</w:t>
            </w:r>
          </w:p>
        </w:tc>
        <w:tc>
          <w:tcPr>
            <w:tcW w:type="dxa" w:w="2160"/>
          </w:tcPr>
          <w:p>
            <w:r>
              <w:t>Pedigree criteria</w:t>
            </w:r>
          </w:p>
        </w:tc>
        <w:tc>
          <w:tcPr>
            <w:tcW w:type="dxa" w:w="2160"/>
          </w:tcPr>
          <w:p>
            <w:r>
              <w:t>get_patient_family_history (privacy-redacted)</w:t>
            </w:r>
          </w:p>
        </w:tc>
        <w:tc>
          <w:tcPr>
            <w:tcW w:type="dxa" w:w="2160"/>
          </w:tcPr>
          <w:p>
            <w:r>
              <w:t>FamilyHistoryResultList</w:t>
            </w:r>
          </w:p>
        </w:tc>
      </w:tr>
      <w:tr>
        <w:tc>
          <w:tcPr>
            <w:tcW w:type="dxa" w:w="2160"/>
          </w:tcPr>
          <w:p>
            <w:r>
              <w:t>PGx</w:t>
            </w:r>
          </w:p>
        </w:tc>
        <w:tc>
          <w:tcPr>
            <w:tcW w:type="dxa" w:w="2160"/>
          </w:tcPr>
          <w:p>
            <w:r>
              <w:t>Drug–gene interactions (CPIC)</w:t>
            </w:r>
          </w:p>
        </w:tc>
        <w:tc>
          <w:tcPr>
            <w:tcW w:type="dxa" w:w="2160"/>
          </w:tcPr>
          <w:p>
            <w:r>
              <w:t>get_patient_pgx, search_pgx_annotations</w:t>
            </w:r>
          </w:p>
        </w:tc>
        <w:tc>
          <w:tcPr>
            <w:tcW w:type="dxa" w:w="2160"/>
          </w:tcPr>
          <w:p>
            <w:r>
              <w:t>PGXResultList</w:t>
            </w:r>
          </w:p>
        </w:tc>
      </w:tr>
      <w:tr>
        <w:tc>
          <w:tcPr>
            <w:tcW w:type="dxa" w:w="2160"/>
          </w:tcPr>
          <w:p>
            <w:r>
              <w:t>Phenotype</w:t>
            </w:r>
          </w:p>
        </w:tc>
        <w:tc>
          <w:tcPr>
            <w:tcW w:type="dxa" w:w="2160"/>
          </w:tcPr>
          <w:p>
            <w:r>
              <w:t>HPO/MONDO phenotype match</w:t>
            </w:r>
          </w:p>
        </w:tc>
        <w:tc>
          <w:tcPr>
            <w:tcW w:type="dxa" w:w="2160"/>
          </w:tcPr>
          <w:p>
            <w:r>
              <w:t>get_patient_phenotype</w:t>
            </w:r>
          </w:p>
        </w:tc>
        <w:tc>
          <w:tcPr>
            <w:tcW w:type="dxa" w:w="2160"/>
          </w:tcPr>
          <w:p>
            <w:r>
              <w:t>PhenotypeResultList</w:t>
            </w:r>
          </w:p>
        </w:tc>
      </w:tr>
    </w:tbl>
    <w:p/>
    <w:p>
      <w:pPr>
        <w:pStyle w:val="Heading1"/>
      </w:pPr>
      <w:r>
        <w:rPr>
          <w:color w:val="0F3D7A"/>
        </w:rPr>
        <w:t>4. MAF Components We Use, and Why (10 min)</w:t>
      </w:r>
    </w:p>
    <w:p>
      <w:pPr>
        <w:pStyle w:val="Heading2"/>
      </w:pPr>
      <w:r>
        <w:rPr>
          <w:color w:val="0F3D7A"/>
        </w:rPr>
        <w:t>4.1 Executor + WorkflowContext</w:t>
      </w:r>
    </w:p>
    <w:p>
      <w:r>
        <w:t>Every node is a class(Executor) with a single @handler method. Handlers receive typed messages and either send the next message or yield the terminal output. Deterministic, testable, replayable.</w:t>
      </w:r>
    </w:p>
    <w:p>
      <w:pPr>
        <w:pStyle w:val="Heading2"/>
      </w:pPr>
      <w:r>
        <w:rPr>
          <w:color w:val="0F3D7A"/>
        </w:rPr>
        <w:t>4.2 Structured decision types (Pydantic, extra='forbid')</w:t>
      </w:r>
    </w:p>
    <w:p>
      <w:r>
        <w:t>ChatRouterDecision, SpecialistDispatchSet, ChatRequestBody, ChatResponseBody. Every hand-off is validated at the boundary. Unknown fields are startup errors, not runtime ones.</w:t>
      </w:r>
    </w:p>
    <w:p>
      <w:pPr>
        <w:pStyle w:val="Heading2"/>
      </w:pPr>
      <w:r>
        <w:rPr>
          <w:color w:val="0F3D7A"/>
        </w:rPr>
        <w:t>4.3 DI Container</w:t>
      </w:r>
    </w:p>
    <w:p>
      <w:r>
        <w:t>build_container(settings) wires every singleton (DB pool, Cosmos, LLM clients, repositories, authenticator, workflow runtime). Enables no-key smoke server, unit tests, prod — all share shape.</w:t>
      </w:r>
    </w:p>
    <w:p>
      <w:pPr>
        <w:pStyle w:val="Heading2"/>
      </w:pPr>
      <w:r>
        <w:rPr>
          <w:color w:val="0F3D7A"/>
        </w:rPr>
        <w:t>4.4 Observability (OpenTelemetry — W08)</w:t>
      </w:r>
    </w:p>
    <w:p>
      <w:r>
        <w:t>7 span kinds; 10 KPI metrics; PHI-safe attribute allowlist enforced on every set_attribute() call plus a CI grep test to block regressions.</w:t>
      </w:r>
    </w:p>
    <w:p>
      <w:pPr>
        <w:pStyle w:val="Heading2"/>
      </w:pPr>
      <w:r>
        <w:rPr>
          <w:color w:val="0F3D7A"/>
        </w:rPr>
        <w:t>4.5 Resilience (W09)</w:t>
      </w:r>
    </w:p>
    <w:p>
      <w:r>
        <w:t>Typed error hierarchy → HTTP codes. RetryingSpecialistLlm decorator with exp+jitter, independent of APIM retry. Specialist isolation: one failure marks a slot as failed; the rest still return.</w:t>
      </w:r>
    </w:p>
    <w:p>
      <w:pPr>
        <w:pStyle w:val="Heading2"/>
      </w:pPr>
      <w:r>
        <w:rPr>
          <w:color w:val="0F3D7A"/>
        </w:rPr>
        <w:t>4.6 Auth + audit (W07)</w:t>
      </w:r>
    </w:p>
    <w:p>
      <w:r>
        <w:t>Prod: Entra JWT verification against JWKS + role check. Dev: StubAuthenticator that accepts a JSON payload (this is what makes today's demo possible without an Entra tenant). Every request emits an AuditEvent (route, clinician_id, patient_id, decision, outcome).</w:t>
      </w:r>
    </w:p>
    <w:p>
      <w:pPr>
        <w:pStyle w:val="Heading1"/>
      </w:pPr>
      <w:r>
        <w:rPr>
          <w:color w:val="0F3D7A"/>
        </w:rPr>
        <w:t>5. Parallel vs. Sequential Dispatch (5 min)</w:t>
      </w:r>
    </w:p>
    <w:p>
      <w:pPr>
        <w:pStyle w:val="Heading2"/>
      </w:pPr>
      <w:r>
        <w:rPr>
          <w:color w:val="0F3D7A"/>
        </w:rPr>
        <w:t>5.1 The toggle</w:t>
      </w:r>
    </w:p>
    <w:p>
      <w:pPr>
        <w:pStyle w:val="ListBullet"/>
      </w:pPr>
      <w:r>
        <w:t>Setting: ORCH_DISPATCH_MODE = sequential | parallel (config/settings.py)</w:t>
      </w:r>
    </w:p>
    <w:p>
      <w:pPr>
        <w:pStyle w:val="ListBullet"/>
      </w:pPr>
      <w:r>
        <w:t>Companion: ORCH_MAX_FANOUT_WIDTH — caps concurrent specialists</w:t>
      </w:r>
    </w:p>
    <w:p>
      <w:pPr>
        <w:pStyle w:val="ListBullet"/>
      </w:pPr>
      <w:r>
        <w:t>Read by: OrchRouterExecutor.handle_state</w:t>
      </w:r>
    </w:p>
    <w:p>
      <w:pPr>
        <w:pStyle w:val="Heading2"/>
      </w:pPr>
      <w:r>
        <w:rPr>
          <w:color w:val="0F3D7A"/>
        </w:rPr>
        <w:t>5.2 What the router does</w:t>
      </w:r>
    </w:p>
    <w:p>
      <w:pPr>
        <w:pStyle w:val="ListBullet"/>
      </w:pPr>
      <w:r>
        <w:t>Sequential (default): one specialist per iteration. Safe, deterministic, cost-linear, easy to audit.</w:t>
      </w:r>
    </w:p>
    <w:p>
      <w:pPr>
        <w:pStyle w:val="ListBullet"/>
      </w:pPr>
      <w:r>
        <w:t>Parallel: a set of independent specialists per iteration. Faster wall-clock, higher peak cost.</w:t>
      </w:r>
    </w:p>
    <w:p>
      <w:pPr>
        <w:pStyle w:val="ListBullet"/>
      </w:pPr>
      <w:r>
        <w:t>If parallel decision comes in while mode is sequential → downgraded to first specialist with warning log.</w:t>
      </w:r>
    </w:p>
    <w:p>
      <w:pPr>
        <w:pStyle w:val="Heading2"/>
      </w:pPr>
      <w:r>
        <w:rPr>
          <w:color w:val="0F3D7A"/>
        </w:rPr>
        <w:t>5.3 How to toggle after deploy</w:t>
      </w:r>
    </w:p>
    <w:tbl>
      <w:tblPr>
        <w:tblStyle w:val="LightGrid-Accent1"/>
        <w:tblW w:type="auto" w:w="0"/>
        <w:tblLook w:firstColumn="1" w:firstRow="1" w:lastColumn="0" w:lastRow="0" w:noHBand="0" w:noVBand="1" w:val="04A0"/>
      </w:tblPr>
      <w:tblGrid>
        <w:gridCol w:w="4320"/>
        <w:gridCol w:w="4320"/>
      </w:tblGrid>
      <w:tr>
        <w:tc>
          <w:tcPr>
            <w:tcW w:type="dxa" w:w="4320"/>
          </w:tcPr>
          <w:p>
            <w:r>
              <w:rPr>
                <w:b/>
              </w:rPr>
              <w:t>Environment</w:t>
            </w:r>
          </w:p>
        </w:tc>
        <w:tc>
          <w:tcPr>
            <w:tcW w:type="dxa" w:w="4320"/>
          </w:tcPr>
          <w:p>
            <w:r>
              <w:rPr>
                <w:b/>
              </w:rPr>
              <w:t>Mechanism</w:t>
            </w:r>
          </w:p>
        </w:tc>
      </w:tr>
      <w:tr>
        <w:tc>
          <w:tcPr>
            <w:tcW w:type="dxa" w:w="4320"/>
          </w:tcPr>
          <w:p>
            <w:r>
              <w:t>Local dev</w:t>
            </w:r>
          </w:p>
        </w:tc>
        <w:tc>
          <w:tcPr>
            <w:tcW w:type="dxa" w:w="4320"/>
          </w:tcPr>
          <w:p>
            <w:r>
              <w:t>Set ORCH_DISPATCH_MODE=parallel in .env, restart process</w:t>
            </w:r>
          </w:p>
        </w:tc>
      </w:tr>
      <w:tr>
        <w:tc>
          <w:tcPr>
            <w:tcW w:type="dxa" w:w="4320"/>
          </w:tcPr>
          <w:p>
            <w:r>
              <w:t>Preprod / prod</w:t>
            </w:r>
          </w:p>
        </w:tc>
        <w:tc>
          <w:tcPr>
            <w:tcW w:type="dxa" w:w="4320"/>
          </w:tcPr>
          <w:p>
            <w:r>
              <w:t>Edit infra/env/prod.bicepparam → redeploy; or change Container App env var → restart revision</w:t>
            </w:r>
          </w:p>
        </w:tc>
      </w:tr>
      <w:tr>
        <w:tc>
          <w:tcPr>
            <w:tcW w:type="dxa" w:w="4320"/>
          </w:tcPr>
          <w:p>
            <w:r>
              <w:t>Runtime toggle (no restart)</w:t>
            </w:r>
          </w:p>
        </w:tc>
        <w:tc>
          <w:tcPr>
            <w:tcW w:type="dxa" w:w="4320"/>
          </w:tcPr>
          <w:p>
            <w:r>
              <w:t>Not built — would need Azure App Configuration + feature flags</w:t>
            </w:r>
          </w:p>
        </w:tc>
      </w:tr>
    </w:tbl>
    <w:p/>
    <w:p>
      <w:pPr>
        <w:pStyle w:val="Heading2"/>
      </w:pPr>
      <w:r>
        <w:rPr>
          <w:color w:val="0F3D7A"/>
        </w:rPr>
        <w:t>5.4 Analytics partitioning</w:t>
      </w:r>
    </w:p>
    <w:p>
      <w:r>
        <w:t>Every orch_router.dispatched log record carries orch.mode and orch.width. W08 lifts them to OTEL span attributes so dashboards partition latency/cost/error-rate by mode without a config join.</w:t>
      </w:r>
    </w:p>
    <w:p>
      <w:pPr>
        <w:pStyle w:val="Heading1"/>
      </w:pPr>
      <w:r>
        <w:rPr>
          <w:color w:val="0F3D7A"/>
        </w:rPr>
        <w:t>6. Shipped vs. Blocked (5 min)</w:t>
      </w:r>
    </w:p>
    <w:p>
      <w:pPr>
        <w:pStyle w:val="Heading2"/>
      </w:pPr>
      <w:r>
        <w:rPr>
          <w:color w:val="0F3D7A"/>
        </w:rPr>
        <w:t>6.1 Shipped (11/11 workstreams, tagged w11-cutover)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WS</w:t>
            </w:r>
          </w:p>
        </w:tc>
        <w:tc>
          <w:tcPr>
            <w:tcW w:type="dxa" w:w="2880"/>
          </w:tcPr>
          <w:p>
            <w:r>
              <w:rPr>
                <w:b/>
              </w:rPr>
              <w:t>Title</w:t>
            </w:r>
          </w:p>
        </w:tc>
        <w:tc>
          <w:tcPr>
            <w:tcW w:type="dxa" w:w="2880"/>
          </w:tcPr>
          <w:p>
            <w:r>
              <w:rPr>
                <w:b/>
              </w:rPr>
              <w:t>Highlights</w:t>
            </w:r>
          </w:p>
        </w:tc>
      </w:tr>
      <w:tr>
        <w:tc>
          <w:tcPr>
            <w:tcW w:type="dxa" w:w="2880"/>
          </w:tcPr>
          <w:p>
            <w:r>
              <w:t>W01</w:t>
            </w:r>
          </w:p>
        </w:tc>
        <w:tc>
          <w:tcPr>
            <w:tcW w:type="dxa" w:w="2880"/>
          </w:tcPr>
          <w:p>
            <w:r>
              <w:t>Foundation</w:t>
            </w:r>
          </w:p>
        </w:tc>
        <w:tc>
          <w:tcPr>
            <w:tcW w:type="dxa" w:w="2880"/>
          </w:tcPr>
          <w:p>
            <w:r>
              <w:t>Settings, DI, PG pool, Cosmos, structured logs</w:t>
            </w:r>
          </w:p>
        </w:tc>
      </w:tr>
      <w:tr>
        <w:tc>
          <w:tcPr>
            <w:tcW w:type="dxa" w:w="2880"/>
          </w:tcPr>
          <w:p>
            <w:r>
              <w:t>W02</w:t>
            </w:r>
          </w:p>
        </w:tc>
        <w:tc>
          <w:tcPr>
            <w:tcW w:type="dxa" w:w="2880"/>
          </w:tcPr>
          <w:p>
            <w:r>
              <w:t>Clinical data layer</w:t>
            </w:r>
          </w:p>
        </w:tc>
        <w:tc>
          <w:tcPr>
            <w:tcW w:type="dxa" w:w="2880"/>
          </w:tcPr>
          <w:p>
            <w:r>
              <w:t>Schema, seed, repositories, authz</w:t>
            </w:r>
          </w:p>
        </w:tc>
      </w:tr>
      <w:tr>
        <w:tc>
          <w:tcPr>
            <w:tcW w:type="dxa" w:w="2880"/>
          </w:tcPr>
          <w:p>
            <w:r>
              <w:t>W03</w:t>
            </w:r>
          </w:p>
        </w:tc>
        <w:tc>
          <w:tcPr>
            <w:tcW w:type="dxa" w:w="2880"/>
          </w:tcPr>
          <w:p>
            <w:r>
              <w:t>Domain repositories</w:t>
            </w:r>
          </w:p>
        </w:tc>
        <w:tc>
          <w:tcPr>
            <w:tcW w:type="dxa" w:w="2880"/>
          </w:tcPr>
          <w:p>
            <w:r>
              <w:t>5 repos + 14 tool shims + family-history privacy</w:t>
            </w:r>
          </w:p>
        </w:tc>
      </w:tr>
      <w:tr>
        <w:tc>
          <w:tcPr>
            <w:tcW w:type="dxa" w:w="2880"/>
          </w:tcPr>
          <w:p>
            <w:r>
              <w:t>W04</w:t>
            </w:r>
          </w:p>
        </w:tc>
        <w:tc>
          <w:tcPr>
            <w:tcW w:type="dxa" w:w="2880"/>
          </w:tcPr>
          <w:p>
            <w:r>
              <w:t>MAF workflow skeleton</w:t>
            </w:r>
          </w:p>
        </w:tc>
        <w:tc>
          <w:tcPr>
            <w:tcW w:type="dxa" w:w="2880"/>
          </w:tcPr>
          <w:p>
            <w:r>
              <w:t>Chat + orchestration sub-workflows, routing, budget</w:t>
            </w:r>
          </w:p>
        </w:tc>
      </w:tr>
      <w:tr>
        <w:tc>
          <w:tcPr>
            <w:tcW w:type="dxa" w:w="2880"/>
          </w:tcPr>
          <w:p>
            <w:r>
              <w:t>W05</w:t>
            </w:r>
          </w:p>
        </w:tc>
        <w:tc>
          <w:tcPr>
            <w:tcW w:type="dxa" w:w="2880"/>
          </w:tcPr>
          <w:p>
            <w:r>
              <w:t>Specialist agents</w:t>
            </w:r>
          </w:p>
        </w:tc>
        <w:tc>
          <w:tcPr>
            <w:tcW w:type="dxa" w:w="2880"/>
          </w:tcPr>
          <w:p>
            <w:r>
              <w:t>5 specialists with tools + provenance</w:t>
            </w:r>
          </w:p>
        </w:tc>
      </w:tr>
      <w:tr>
        <w:tc>
          <w:tcPr>
            <w:tcW w:type="dxa" w:w="2880"/>
          </w:tcPr>
          <w:p>
            <w:r>
              <w:t>W06</w:t>
            </w:r>
          </w:p>
        </w:tc>
        <w:tc>
          <w:tcPr>
            <w:tcW w:type="dxa" w:w="2880"/>
          </w:tcPr>
          <w:p>
            <w:r>
              <w:t>Parallel exec &amp; mode-parity</w:t>
            </w:r>
          </w:p>
        </w:tc>
        <w:tc>
          <w:tcPr>
            <w:tcW w:type="dxa" w:w="2880"/>
          </w:tcPr>
          <w:p>
            <w:r>
              <w:t>Sequential ↔ parallel harness + parity tests</w:t>
            </w:r>
          </w:p>
        </w:tc>
      </w:tr>
      <w:tr>
        <w:tc>
          <w:tcPr>
            <w:tcW w:type="dxa" w:w="2880"/>
          </w:tcPr>
          <w:p>
            <w:r>
              <w:t>W07</w:t>
            </w:r>
          </w:p>
        </w:tc>
        <w:tc>
          <w:tcPr>
            <w:tcW w:type="dxa" w:w="2880"/>
          </w:tcPr>
          <w:p>
            <w:r>
              <w:t>Auth + authorization</w:t>
            </w:r>
          </w:p>
        </w:tc>
        <w:tc>
          <w:tcPr>
            <w:tcW w:type="dxa" w:w="2880"/>
          </w:tcPr>
          <w:p>
            <w:r>
              <w:t>Entra JWT, stub for dev, AuditEvent</w:t>
            </w:r>
          </w:p>
        </w:tc>
      </w:tr>
      <w:tr>
        <w:tc>
          <w:tcPr>
            <w:tcW w:type="dxa" w:w="2880"/>
          </w:tcPr>
          <w:p>
            <w:r>
              <w:t>W08</w:t>
            </w:r>
          </w:p>
        </w:tc>
        <w:tc>
          <w:tcPr>
            <w:tcW w:type="dxa" w:w="2880"/>
          </w:tcPr>
          <w:p>
            <w:r>
              <w:t>Observability</w:t>
            </w:r>
          </w:p>
        </w:tc>
        <w:tc>
          <w:tcPr>
            <w:tcW w:type="dxa" w:w="2880"/>
          </w:tcPr>
          <w:p>
            <w:r>
              <w:t>OTEL SDK, 7 spans, 10 metrics, PHI allowlist</w:t>
            </w:r>
          </w:p>
        </w:tc>
      </w:tr>
      <w:tr>
        <w:tc>
          <w:tcPr>
            <w:tcW w:type="dxa" w:w="2880"/>
          </w:tcPr>
          <w:p>
            <w:r>
              <w:t>W09</w:t>
            </w:r>
          </w:p>
        </w:tc>
        <w:tc>
          <w:tcPr>
            <w:tcW w:type="dxa" w:w="2880"/>
          </w:tcPr>
          <w:p>
            <w:r>
              <w:t>Resilience &amp; errors</w:t>
            </w:r>
          </w:p>
        </w:tc>
        <w:tc>
          <w:tcPr>
            <w:tcW w:type="dxa" w:w="2880"/>
          </w:tcPr>
          <w:p>
            <w:r>
              <w:t>Typed errors, retry, isolation, response formatter</w:t>
            </w:r>
          </w:p>
        </w:tc>
      </w:tr>
      <w:tr>
        <w:tc>
          <w:tcPr>
            <w:tcW w:type="dxa" w:w="2880"/>
          </w:tcPr>
          <w:p>
            <w:r>
              <w:t>W10</w:t>
            </w:r>
          </w:p>
        </w:tc>
        <w:tc>
          <w:tcPr>
            <w:tcW w:type="dxa" w:w="2880"/>
          </w:tcPr>
          <w:p>
            <w:r>
              <w:t>Testing, eval &amp; load</w:t>
            </w:r>
          </w:p>
        </w:tc>
        <w:tc>
          <w:tcPr>
            <w:tcW w:type="dxa" w:w="2880"/>
          </w:tcPr>
          <w:p>
            <w:r>
              <w:t>Golden-set schema, scorers, PHI CI, load runbook</w:t>
            </w:r>
          </w:p>
        </w:tc>
      </w:tr>
      <w:tr>
        <w:tc>
          <w:tcPr>
            <w:tcW w:type="dxa" w:w="2880"/>
          </w:tcPr>
          <w:p>
            <w:r>
              <w:t>W11</w:t>
            </w:r>
          </w:p>
        </w:tc>
        <w:tc>
          <w:tcPr>
            <w:tcW w:type="dxa" w:w="2880"/>
          </w:tcPr>
          <w:p>
            <w:r>
              <w:t>Cutover + runbooks</w:t>
            </w:r>
          </w:p>
        </w:tc>
        <w:tc>
          <w:tcPr>
            <w:tcW w:type="dxa" w:w="2880"/>
          </w:tcPr>
          <w:p>
            <w:r>
              <w:t>FastAPI, APIM, 9 alerts, 3 dashboards, 8 runbooks, cutover playbook</w:t>
            </w:r>
          </w:p>
        </w:tc>
      </w:tr>
    </w:tbl>
    <w:p/>
    <w:p>
      <w:r>
        <w:t>Testing snapshot: 421 unit tests passing, 21 integration tests skipped (require live Postgres).</w:t>
      </w:r>
    </w:p>
    <w:p>
      <w:pPr>
        <w:pStyle w:val="Heading2"/>
      </w:pPr>
      <w:r>
        <w:rPr>
          <w:color w:val="0F3D7A"/>
        </w:rPr>
        <w:t>6.2 Open blockers (need M42 answers)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Blocker</w:t>
            </w:r>
          </w:p>
        </w:tc>
        <w:tc>
          <w:tcPr>
            <w:tcW w:type="dxa" w:w="2160"/>
          </w:tcPr>
          <w:p>
            <w:r>
              <w:rPr>
                <w:b/>
              </w:rPr>
              <w:t>Owner</w:t>
            </w:r>
          </w:p>
        </w:tc>
        <w:tc>
          <w:tcPr>
            <w:tcW w:type="dxa" w:w="2160"/>
          </w:tcPr>
          <w:p>
            <w:r>
              <w:rPr>
                <w:b/>
              </w:rPr>
              <w:t>Blocks</w:t>
            </w:r>
          </w:p>
        </w:tc>
      </w:tr>
      <w:tr>
        <w:tc>
          <w:tcPr>
            <w:tcW w:type="dxa" w:w="2160"/>
          </w:tcPr>
          <w:p>
            <w:r>
              <w:t>B-001</w:t>
            </w:r>
          </w:p>
        </w:tc>
        <w:tc>
          <w:tcPr>
            <w:tcW w:type="dxa" w:w="2160"/>
          </w:tcPr>
          <w:p>
            <w:r>
              <w:t>PRS 'EGP-evaluated' metadata model</w:t>
            </w:r>
          </w:p>
        </w:tc>
        <w:tc>
          <w:tcPr>
            <w:tcW w:type="dxa" w:w="2160"/>
          </w:tcPr>
          <w:p>
            <w:r>
              <w:t>BIX + M42</w:t>
            </w:r>
          </w:p>
        </w:tc>
        <w:tc>
          <w:tcPr>
            <w:tcW w:type="dxa" w:w="2160"/>
          </w:tcPr>
          <w:p>
            <w:r>
              <w:t>Golden items S4, R5; PRS disclosure</w:t>
            </w:r>
          </w:p>
        </w:tc>
      </w:tr>
      <w:tr>
        <w:tc>
          <w:tcPr>
            <w:tcW w:type="dxa" w:w="2160"/>
          </w:tcPr>
          <w:p>
            <w:r>
              <w:t>B-002</w:t>
            </w:r>
          </w:p>
        </w:tc>
        <w:tc>
          <w:tcPr>
            <w:tcW w:type="dxa" w:w="2160"/>
          </w:tcPr>
          <w:p>
            <w:r>
              <w:t>Identity &amp; session model</w:t>
            </w:r>
          </w:p>
        </w:tc>
        <w:tc>
          <w:tcPr>
            <w:tcW w:type="dxa" w:w="2160"/>
          </w:tcPr>
          <w:p>
            <w:r>
              <w:t>M42 + IAM</w:t>
            </w:r>
          </w:p>
        </w:tc>
        <w:tc>
          <w:tcPr>
            <w:tcW w:type="dxa" w:w="2160"/>
          </w:tcPr>
          <w:p>
            <w:r>
              <w:t>Session-pinning; refusal wording</w:t>
            </w:r>
          </w:p>
        </w:tc>
      </w:tr>
      <w:tr>
        <w:tc>
          <w:tcPr>
            <w:tcW w:type="dxa" w:w="2160"/>
          </w:tcPr>
          <w:p>
            <w:r>
              <w:t>B-003</w:t>
            </w:r>
          </w:p>
        </w:tc>
        <w:tc>
          <w:tcPr>
            <w:tcW w:type="dxa" w:w="2160"/>
          </w:tcPr>
          <w:p>
            <w:r>
              <w:t>Patient identifier formats</w:t>
            </w:r>
          </w:p>
        </w:tc>
        <w:tc>
          <w:tcPr>
            <w:tcW w:type="dxa" w:w="2160"/>
          </w:tcPr>
          <w:p>
            <w:r>
              <w:t>BIX + M42</w:t>
            </w:r>
          </w:p>
        </w:tc>
        <w:tc>
          <w:tcPr>
            <w:tcW w:type="dxa" w:w="2160"/>
          </w:tcPr>
          <w:p>
            <w:r>
              <w:t>ScopeGuard regex coverage</w:t>
            </w:r>
          </w:p>
        </w:tc>
      </w:tr>
      <w:tr>
        <w:tc>
          <w:tcPr>
            <w:tcW w:type="dxa" w:w="2160"/>
          </w:tcPr>
          <w:p>
            <w:r>
              <w:t>B-004</w:t>
            </w:r>
          </w:p>
        </w:tc>
        <w:tc>
          <w:tcPr>
            <w:tcW w:type="dxa" w:w="2160"/>
          </w:tcPr>
          <w:p>
            <w:r>
              <w:t>Approved refusal message wording</w:t>
            </w:r>
          </w:p>
        </w:tc>
        <w:tc>
          <w:tcPr>
            <w:tcW w:type="dxa" w:w="2160"/>
          </w:tcPr>
          <w:p>
            <w:r>
              <w:t>M42 UX + Clinical</w:t>
            </w:r>
          </w:p>
        </w:tc>
        <w:tc>
          <w:tcPr>
            <w:tcW w:type="dxa" w:w="2160"/>
          </w:tcPr>
          <w:p>
            <w:r>
              <w:t>Golden-set assertion strings</w:t>
            </w:r>
          </w:p>
        </w:tc>
      </w:tr>
      <w:tr>
        <w:tc>
          <w:tcPr>
            <w:tcW w:type="dxa" w:w="2160"/>
          </w:tcPr>
          <w:p>
            <w:r>
              <w:t>B-005</w:t>
            </w:r>
          </w:p>
        </w:tc>
        <w:tc>
          <w:tcPr>
            <w:tcW w:type="dxa" w:w="2160"/>
          </w:tcPr>
          <w:p>
            <w:r>
              <w:t>Session lifecycle + logout contract</w:t>
            </w:r>
          </w:p>
        </w:tc>
        <w:tc>
          <w:tcPr>
            <w:tcW w:type="dxa" w:w="2160"/>
          </w:tcPr>
          <w:p>
            <w:r>
              <w:t>M42 + Frontend</w:t>
            </w:r>
          </w:p>
        </w:tc>
        <w:tc>
          <w:tcPr>
            <w:tcW w:type="dxa" w:w="2160"/>
          </w:tcPr>
          <w:p>
            <w:r>
              <w:t>TTL sizing; refusal usefulness</w:t>
            </w:r>
          </w:p>
        </w:tc>
      </w:tr>
      <w:tr>
        <w:tc>
          <w:tcPr>
            <w:tcW w:type="dxa" w:w="2160"/>
          </w:tcPr>
          <w:p>
            <w:r>
              <w:t>B-006</w:t>
            </w:r>
          </w:p>
        </w:tc>
        <w:tc>
          <w:tcPr>
            <w:tcW w:type="dxa" w:w="2160"/>
          </w:tcPr>
          <w:p>
            <w:r>
              <w:t>Audit sink + alert threshold</w:t>
            </w:r>
          </w:p>
        </w:tc>
        <w:tc>
          <w:tcPr>
            <w:tcW w:type="dxa" w:w="2160"/>
          </w:tcPr>
          <w:p>
            <w:r>
              <w:t>M42 Security + SIEM</w:t>
            </w:r>
          </w:p>
        </w:tc>
        <w:tc>
          <w:tcPr>
            <w:tcW w:type="dxa" w:w="2160"/>
          </w:tcPr>
          <w:p>
            <w:r>
              <w:t>Sev-3 alert rule; retention</w:t>
            </w:r>
          </w:p>
        </w:tc>
      </w:tr>
    </w:tbl>
    <w:p/>
    <w:p>
      <w:pPr>
        <w:pStyle w:val="Heading2"/>
      </w:pPr>
      <w:r>
        <w:rPr>
          <w:color w:val="0F3D7A"/>
        </w:rPr>
        <w:t>6.3 Golden-dataset gap analysis</w:t>
      </w:r>
    </w:p>
    <w:p>
      <w:pPr>
        <w:pStyle w:val="ListBullet"/>
      </w:pPr>
      <w:r>
        <w:t>Gap 1: Single-patient scope guardrail (G1–G5). Design ready. Blocked on B-002 + B-003 + B-004.</w:t>
      </w:r>
    </w:p>
    <w:p>
      <w:pPr>
        <w:pStyle w:val="ListBullet"/>
      </w:pPr>
      <w:r>
        <w:t>Gap 2: Annotation vs. patient-scan (G6–G9). Prompt rule + repository lint. No external blocker.</w:t>
      </w:r>
    </w:p>
    <w:p>
      <w:pPr>
        <w:pStyle w:val="ListBullet"/>
      </w:pPr>
      <w:r>
        <w:t>Gap 3: 'Not EGP-evaluated' PRS disclosure (S4, R5). Blocked on B-001.</w:t>
      </w:r>
    </w:p>
    <w:p>
      <w:pPr>
        <w:pStyle w:val="Heading1"/>
      </w:pPr>
      <w:r>
        <w:rPr>
          <w:color w:val="0F3D7A"/>
        </w:rPr>
        <w:t>7. Live Demo Script (10 min)</w:t>
      </w:r>
    </w:p>
    <w:p>
      <w:r>
        <w:t>Setup (before demo): cd epg-maf &amp;&amp; .\.venv\Scripts\python.exe scripts\serve_smoke.py</w:t>
      </w:r>
    </w:p>
    <w:p>
      <w:pPr>
        <w:pStyle w:val="ListBullet"/>
      </w:pPr>
      <w:r>
        <w:t>Health probe: browse http://127.0.0.1:8000/healthz → 200 OK</w:t>
      </w:r>
    </w:p>
    <w:p>
      <w:pPr>
        <w:pStyle w:val="ListBullet"/>
      </w:pPr>
      <w:r>
        <w:t>Swagger UI: http://127.0.0.1:8000/docs → click Authorize (top-right)</w:t>
      </w:r>
    </w:p>
    <w:p>
      <w:pPr>
        <w:pStyle w:val="ListBullet"/>
      </w:pPr>
      <w:r>
        <w:t>Paste token: {"oid":"demo","tid":"demo","roles":["Clinician"],"exp":9999999999}</w:t>
      </w:r>
    </w:p>
    <w:p>
      <w:pPr>
        <w:pStyle w:val="ListBullet"/>
      </w:pPr>
      <w:r>
        <w:t>POST /chat → body: {"thread_id":"T-demo","patient_id":"P001","message":"What PRS does this patient have?"}</w:t>
      </w:r>
    </w:p>
    <w:p>
      <w:pPr>
        <w:pStyle w:val="ListBullet"/>
      </w:pPr>
      <w:r>
        <w:t>Response: populated prs + pgx slots + synthesised reply</w:t>
      </w:r>
    </w:p>
    <w:p>
      <w:pPr>
        <w:pStyle w:val="ListBullet"/>
      </w:pPr>
      <w:r>
        <w:t>Point out response schema: trace_id, agents_completed, per-specialist slot with status/output/errors</w:t>
      </w:r>
    </w:p>
    <w:p>
      <w:pPr>
        <w:pStyle w:val="ListBullet"/>
      </w:pPr>
      <w:r>
        <w:t>Show terminal logs: chat_router.decided, orch_router.dispatched, specialist_joiner.merged, orch_router.terminal</w:t>
      </w:r>
    </w:p>
    <w:p>
      <w:pPr>
        <w:pStyle w:val="ListBullet"/>
      </w:pPr>
      <w:r>
        <w:t>If time permits: pytest -m 'not integration and not parity and not chaos' -q → 421 passed</w:t>
      </w:r>
    </w:p>
    <w:p>
      <w:pPr>
        <w:pStyle w:val="Heading1"/>
      </w:pPr>
      <w:r>
        <w:rPr>
          <w:color w:val="0F3D7A"/>
        </w:rPr>
        <w:t>8. Likely Q&amp;A</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Short answer</w:t>
            </w:r>
          </w:p>
        </w:tc>
      </w:tr>
      <w:tr>
        <w:tc>
          <w:tcPr>
            <w:tcW w:type="dxa" w:w="4320"/>
          </w:tcPr>
          <w:p>
            <w:r>
              <w:t>Why MAF over LangGraph?</w:t>
            </w:r>
          </w:p>
        </w:tc>
        <w:tc>
          <w:tcPr>
            <w:tcW w:type="dxa" w:w="4320"/>
          </w:tcPr>
          <w:p>
            <w:r>
              <w:t>Azure-native, typed decisions, testable, first-class observability, Foundry-ready</w:t>
            </w:r>
          </w:p>
        </w:tc>
      </w:tr>
      <w:tr>
        <w:tc>
          <w:tcPr>
            <w:tcW w:type="dxa" w:w="4320"/>
          </w:tcPr>
          <w:p>
            <w:r>
              <w:t>Cost profile?</w:t>
            </w:r>
          </w:p>
        </w:tc>
        <w:tc>
          <w:tcPr>
            <w:tcW w:type="dxa" w:w="4320"/>
          </w:tcPr>
          <w:p>
            <w:r>
              <w:t>Bounded by iteration budget (12) + fanout width; sequential = cost-linear</w:t>
            </w:r>
          </w:p>
        </w:tc>
      </w:tr>
      <w:tr>
        <w:tc>
          <w:tcPr>
            <w:tcW w:type="dxa" w:w="4320"/>
          </w:tcPr>
          <w:p>
            <w:r>
              <w:t>PHI risk?</w:t>
            </w:r>
          </w:p>
        </w:tc>
        <w:tc>
          <w:tcPr>
            <w:tcW w:type="dxa" w:w="4320"/>
          </w:tcPr>
          <w:p>
            <w:r>
              <w:t>Static allowlist + CI grep; family-history results explicitly redacted</w:t>
            </w:r>
          </w:p>
        </w:tc>
      </w:tr>
      <w:tr>
        <w:tc>
          <w:tcPr>
            <w:tcW w:type="dxa" w:w="4320"/>
          </w:tcPr>
          <w:p>
            <w:r>
              <w:t>What if a specialist fails?</w:t>
            </w:r>
          </w:p>
        </w:tc>
        <w:tc>
          <w:tcPr>
            <w:tcW w:type="dxa" w:w="4320"/>
          </w:tcPr>
          <w:p>
            <w:r>
              <w:t>Slot marked failed; other specialists still run; reply still returns</w:t>
            </w:r>
          </w:p>
        </w:tc>
      </w:tr>
      <w:tr>
        <w:tc>
          <w:tcPr>
            <w:tcW w:type="dxa" w:w="4320"/>
          </w:tcPr>
          <w:p>
            <w:r>
              <w:t>How do we roll back?</w:t>
            </w:r>
          </w:p>
        </w:tc>
        <w:tc>
          <w:tcPr>
            <w:tcW w:type="dxa" w:w="4320"/>
          </w:tcPr>
          <w:p>
            <w:r>
              <w:t>cutover.md playbook — idempotent, 30s target via revision swap</w:t>
            </w:r>
          </w:p>
        </w:tc>
      </w:tr>
      <w:tr>
        <w:tc>
          <w:tcPr>
            <w:tcW w:type="dxa" w:w="4320"/>
          </w:tcPr>
          <w:p>
            <w:r>
              <w:t>Real LLM demo when?</w:t>
            </w:r>
          </w:p>
        </w:tc>
        <w:tc>
          <w:tcPr>
            <w:tcW w:type="dxa" w:w="4320"/>
          </w:tcPr>
          <w:p>
            <w:r>
              <w:t>Immediately after Compass key + Azure — one env var flip</w:t>
            </w:r>
          </w:p>
        </w:tc>
      </w:tr>
      <w:tr>
        <w:tc>
          <w:tcPr>
            <w:tcW w:type="dxa" w:w="4320"/>
          </w:tcPr>
          <w:p>
            <w:r>
              <w:t>What is NOT built?</w:t>
            </w:r>
          </w:p>
        </w:tc>
        <w:tc>
          <w:tcPr>
            <w:tcW w:type="dxa" w:w="4320"/>
          </w:tcPr>
          <w:p>
            <w:r>
              <w:t>Real prod deploy, Foundry judge, 30–50 BIX-approved golden items, Grafana</w:t>
            </w:r>
          </w:p>
        </w:tc>
      </w:tr>
    </w:tbl>
    <w:p/>
    <w:p>
      <w:pPr>
        <w:pStyle w:val="Heading1"/>
      </w:pPr>
      <w:r>
        <w:rPr>
          <w:color w:val="0F3D7A"/>
        </w:rPr>
        <w:t>9. Post-demo Close (2 min)</w:t>
      </w:r>
    </w:p>
    <w:p>
      <w:pPr>
        <w:pStyle w:val="ListBullet"/>
      </w:pPr>
      <w:r>
        <w:t>Deliver blocker list; ask for a single point-of-contact per blocker on M42 side.</w:t>
      </w:r>
    </w:p>
    <w:p>
      <w:pPr>
        <w:pStyle w:val="ListBullet"/>
      </w:pPr>
      <w:r>
        <w:t>Ask for Compass subscription key + Azure subscription onboarding target date.</w:t>
      </w:r>
    </w:p>
    <w:p>
      <w:pPr>
        <w:pStyle w:val="ListBullet"/>
      </w:pPr>
      <w:r>
        <w:t>Ask when a BIX reviewer can commit to the 43-item golden set for real evaluation.</w:t>
      </w:r>
    </w:p>
    <w:p>
      <w:pPr>
        <w:pStyle w:val="ListBullet"/>
      </w:pPr>
      <w:r>
        <w:t>Schedule follow-up walk-through of the golden-set gaps once B-001 to B-006 are unblocked.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