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81"/>
        <w:spacing w:line="360" w:lineRule="auto"/>
        <w:ind/>
        <w:jc w:val="center"/>
        <w:rPr>
          <w:rFonts w:hint="eastAsia" w:ascii="宋体" w:hAnsi="宋体"/>
          <w:szCs w:val="21"/>
        </w:rPr>
      </w:pPr>
      <w:r>
        <w:rPr>
          <w:sz w:val="20"/>
        </w:rPr>
        <mc:AlternateContent>
          <mc:Choice Requires="wpg">
            <w:drawing>
              <wp:anchor distT="0" distB="0" distL="114300" distR="114300" simplePos="0" relativeHeight="524288" behindDoc="0" locked="0" layoutInCell="1" allowOverlap="1">
                <wp:simplePos x="0" y="0"/>
                <wp:positionH relativeFrom="column">
                  <wp:posOffset>285750</wp:posOffset>
                </wp:positionH>
                <wp:positionV relativeFrom="paragraph">
                  <wp:posOffset>149225</wp:posOffset>
                </wp:positionV>
                <wp:extent cx="1087755" cy="1040130"/>
                <wp:effectExtent l="0" t="0" r="0" b="0"/>
                <wp:wrapNone/>
                <wp:docPr id="1" name="_x0000_s1030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285750" y="149225"/>
                          <a:ext cx="1087755" cy="104012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1"/>
                              <w:spacing/>
                              <w:ind/>
                              <w:rPr/>
                            </w:pPr>
                            <w:r>
                              <mc:AlternateContent>
                                <mc:Choice Requires="wpg">
                                  <w:drawing>
                                    <wp:inline distT="0" distB="0" distL="0" distR="0">
                                      <wp:extent cx="906760" cy="941060"/>
                                      <wp:effectExtent l="0" t="0" r="0" b="0"/>
                                      <wp:docPr id="2" name="_x0000_i1031"/>
                                      <wp:cNvGraphicFramePr/>
                                      <a:graphic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"/>
                                              <pic:cNvPicPr/>
                                              <pic:nvPr/>
                                            </pic:nvPicPr>
                                            <pic:blipFill rotWithShape="1">
                                              <a:blip r:embed="rId8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906760" cy="94106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shapetype id="_x0000_t75" coordsize="21600,21600" o:spt="75" o:preferrelative="t" path="m@4@5l@4@11@9@11@9@5xe" filled="f" stroked="f">
                                      <v:stroke joinstyle="miter"/>
                                      <v:formulas>
                                        <v:f eqn="if lineDrawn pixelLineWidth 0"/>
                                        <v:f eqn="sum @0 1 0"/>
                                        <v:f eqn="sum 0 0 @1"/>
                                        <v:f eqn="prod @2 1 2"/>
                                        <v:f eqn="prod @3 21600 pixelWidth"/>
                                        <v:f eqn="prod @3 21600 pixelHeight"/>
                                        <v:f eqn="sum @0 0 1"/>
                                        <v:f eqn="prod @6 1 2"/>
                                        <v:f eqn="prod @7 21600 pixelWidth"/>
                                        <v:f eqn="sum @8 21600 0"/>
                                        <v:f eqn="prod @7 21600 pixelHeight"/>
                                        <v:f eqn="sum @10 21600 0"/>
                                      </v:formulas>
                                      <v:path o:extrusionok="f" gradientshapeok="t" o:connecttype="rect"/>
                                      <o:lock v:ext="edit" aspectratio="t"/>
                                    </v:shapetype>
                                    <v:shape id="_x0000_i0" o:spid="_x0000_s0" type="#_x0000_t75" style="width:71.40pt;height:74.10pt;mso-wrap-distance-left:0.00pt;mso-wrap-distance-top:0.00pt;mso-wrap-distance-right:0.00pt;mso-wrap-distance-bottom:0.00pt;z-index:1;" stroked="false">
                                      <v:imagedata r:id="rId8" o:title=""/>
                                      <o:lock v:ext="edit" rotation="t"/>
                                    </v:shape>
                                  </w:pict>
                                </mc:Fallback>
                              </mc:AlternateContent>
                            </w:r>
                            <w:r/>
                          </w:p>
                        </w:txbxContent>
                      </wps:txbx>
                      <wps:bodyPr wrap="square" lIns="91440" tIns="45720" rIns="91440" bIns="45720" upright="1"/>
                    </wps:wsp>
                  </a:graphicData>
                </a:graphic>
              </wp:anchor>
            </w:drawing>
          </mc:Choice>
          <mc:Fallback>
            <w:pict>
              <v:shape id="shape 1" o:spid="_x0000_s1" o:spt="202" type="#_x0000_t202" style="position:absolute;z-index:524288;o:allowoverlap:true;o:allowincell:true;mso-position-horizontal-relative:text;margin-left:22.50pt;mso-position-horizontal:absolute;mso-position-vertical-relative:text;margin-top:11.75pt;mso-position-vertical:absolute;width:85.65pt;height:81.90pt;mso-wrap-distance-left:9.00pt;mso-wrap-distance-top:0.00pt;mso-wrap-distance-right:9.00pt;mso-wrap-distance-bottom:0.00pt;visibility:visible;" fillcolor="#FFFFFF" stroked="f">
                <v:textbox inset="0,0,0,0">
                  <w:txbxContent>
                    <w:p>
                      <w:pPr>
                        <w:pStyle w:val="681"/>
                        <w:spacing/>
                        <w:ind/>
                        <w:rPr/>
                      </w:pPr>
                      <w:r>
                        <mc:AlternateContent>
                          <mc:Choice Requires="wpg">
                            <w:drawing>
                              <wp:inline distT="0" distB="0" distL="0" distR="0">
                                <wp:extent cx="906760" cy="941060"/>
                                <wp:effectExtent l="0" t="0" r="0" b="0"/>
                                <wp:docPr id="2" name="_x0000_i1031"/>
                                <wp:cNvGraphicFramePr/>
                                <a:graphic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"/>
                                        <pic:cNvPicPr/>
                                        <pic:nvPr/>
                                      </pic:nvPicPr>
                                      <pic:blipFill rotWithShape="1">
                                        <a:blip r:embed="rId8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06760" cy="94106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0" o:spid="_x0000_s0" type="#_x0000_t75" style="width:71.40pt;height:74.10pt;mso-wrap-distance-left:0.00pt;mso-wrap-distance-top:0.00pt;mso-wrap-distance-right:0.00pt;mso-wrap-distance-bottom:0.00pt;z-index:1;" stroked="false">
                                <v:imagedata r:id="rId8" o:title=""/>
                                <o:lock v:ext="edit" rotation="t"/>
                              </v:shape>
                            </w:pict>
                          </mc:Fallback>
                        </mc:AlternateConten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/>
          <w:szCs w:val="21"/>
        </w:rPr>
      </w:r>
      <w:r>
        <w:rPr>
          <w:rFonts w:hint="eastAsia" w:ascii="宋体" w:hAnsi="宋体"/>
          <w:szCs w:val="21"/>
        </w:rPr>
      </w:r>
    </w:p>
    <w:p>
      <w:pPr>
        <w:pStyle w:val="681"/>
        <w:spacing/>
        <w:ind/>
        <w:rPr>
          <w:rFonts w:hint="eastAsia" w:ascii="宋体" w:hAnsi="宋体"/>
          <w:bCs/>
          <w:spacing w:val="20"/>
          <w:sz w:val="84"/>
          <w:szCs w:val="84"/>
        </w:rPr>
      </w:pPr>
      <w:r>
        <w:rPr>
          <w:rFonts w:hint="eastAsia" w:ascii="宋体" w:hAnsi="宋体"/>
          <w:bCs/>
          <w:spacing w:val="20"/>
          <w:sz w:val="84"/>
          <w:szCs w:val="84"/>
        </w:rPr>
        <w:t xml:space="preserve">      </w:t>
      </w:r>
      <w:r>
        <w:rPr>
          <w:rFonts w:hint="eastAsia" w:ascii="华文行楷" w:hAnsi="华文行楷" w:eastAsia="华文行楷" w:cs="华文行楷"/>
          <w:bCs/>
          <w:spacing w:val="20"/>
          <w:sz w:val="112"/>
          <w:szCs w:val="112"/>
        </w:rPr>
        <w:t xml:space="preserve">常 州 大 学</w:t>
      </w:r>
      <w:r>
        <w:rPr>
          <w:rFonts w:hint="eastAsia" w:ascii="宋体" w:hAnsi="宋体"/>
          <w:bCs/>
          <w:spacing w:val="20"/>
          <w:sz w:val="84"/>
          <w:szCs w:val="84"/>
        </w:rPr>
        <w:t xml:space="preserve"> </w:t>
      </w:r>
      <w:r>
        <w:rPr>
          <w:rFonts w:hint="eastAsia" w:ascii="宋体" w:hAnsi="宋体"/>
          <w:bCs/>
          <w:spacing w:val="20"/>
          <w:sz w:val="84"/>
          <w:szCs w:val="84"/>
        </w:rPr>
      </w:r>
      <w:r>
        <w:rPr>
          <w:rFonts w:hint="eastAsia" w:ascii="宋体" w:hAnsi="宋体"/>
          <w:bCs/>
          <w:spacing w:val="20"/>
          <w:sz w:val="84"/>
          <w:szCs w:val="84"/>
        </w:rPr>
      </w:r>
    </w:p>
    <w:p>
      <w:pPr>
        <w:pStyle w:val="681"/>
        <w:spacing w:line="360" w:lineRule="auto"/>
        <w:ind/>
        <w:jc w:val="center"/>
        <w:rPr>
          <w:rFonts w:hint="eastAsia" w:ascii="汉仪大宋简" w:hAnsi="宋体" w:eastAsia="汉仪大宋简"/>
          <w:sz w:val="48"/>
          <w:szCs w:val="48"/>
        </w:rPr>
      </w:pPr>
      <w:r>
        <w:rPr>
          <w:rFonts w:hint="eastAsia" w:ascii="汉仪大宋简" w:hAnsi="宋体" w:eastAsia="汉仪大宋简"/>
          <w:sz w:val="48"/>
          <w:szCs w:val="48"/>
        </w:rPr>
      </w:r>
      <w:r>
        <w:rPr>
          <w:rFonts w:hint="eastAsia" w:ascii="汉仪大宋简" w:hAnsi="宋体" w:eastAsia="汉仪大宋简"/>
          <w:sz w:val="48"/>
          <w:szCs w:val="48"/>
        </w:rPr>
      </w:r>
    </w:p>
    <w:p>
      <w:pPr>
        <w:pStyle w:val="681"/>
        <w:spacing w:line="360" w:lineRule="auto"/>
        <w:ind/>
        <w:jc w:val="center"/>
        <w:rPr>
          <w:rFonts w:hint="eastAsia" w:ascii="汉仪大宋简" w:hAnsi="宋体" w:eastAsia="汉仪大宋简"/>
          <w:sz w:val="48"/>
          <w:szCs w:val="48"/>
        </w:rPr>
      </w:pPr>
      <w:r>
        <w:rPr>
          <w:rFonts w:hint="eastAsia" w:ascii="汉仪大宋简" w:hAnsi="宋体" w:eastAsia="汉仪大宋简"/>
          <w:sz w:val="48"/>
          <w:szCs w:val="48"/>
        </w:rPr>
        <w:t xml:space="preserve">《</w:t>
      </w:r>
      <w:r>
        <w:rPr>
          <w:rFonts w:hint="eastAsia" w:ascii="汉仪大宋简" w:hAnsi="宋体" w:eastAsia="汉仪大宋简"/>
          <w:sz w:val="48"/>
          <w:szCs w:val="48"/>
        </w:rPr>
        <w:t xml:space="preserve">电商</w:t>
      </w:r>
      <w:r>
        <w:rPr>
          <w:rFonts w:hint="eastAsia" w:ascii="汉仪大宋简" w:hAnsi="宋体" w:eastAsia="汉仪大宋简"/>
          <w:sz w:val="48"/>
          <w:szCs w:val="48"/>
        </w:rPr>
        <w:t xml:space="preserve">日志分析</w:t>
      </w:r>
      <w:r>
        <w:rPr>
          <w:rFonts w:hint="eastAsia" w:ascii="汉仪大宋简" w:hAnsi="宋体" w:eastAsia="汉仪大宋简"/>
          <w:sz w:val="48"/>
          <w:szCs w:val="48"/>
        </w:rPr>
        <w:t xml:space="preserve">》</w:t>
      </w:r>
      <w:r>
        <w:rPr>
          <w:rFonts w:hint="eastAsia" w:ascii="汉仪大宋简" w:hAnsi="宋体" w:eastAsia="汉仪大宋简"/>
          <w:sz w:val="48"/>
          <w:szCs w:val="48"/>
        </w:rPr>
      </w:r>
      <w:r>
        <w:rPr>
          <w:rFonts w:hint="eastAsia" w:ascii="汉仪大宋简" w:hAnsi="宋体" w:eastAsia="汉仪大宋简"/>
          <w:sz w:val="48"/>
          <w:szCs w:val="48"/>
        </w:rPr>
      </w:r>
    </w:p>
    <w:p>
      <w:pPr>
        <w:pStyle w:val="681"/>
        <w:spacing w:line="360" w:lineRule="auto"/>
        <w:ind/>
        <w:jc w:val="center"/>
        <w:rPr>
          <w:rFonts w:hint="eastAsia" w:ascii="汉仪大宋简" w:hAnsi="宋体" w:eastAsia="汉仪大宋简"/>
          <w:sz w:val="48"/>
          <w:szCs w:val="48"/>
        </w:rPr>
      </w:pPr>
      <w:r>
        <w:rPr>
          <w:rFonts w:hint="eastAsia" w:ascii="汉仪大宋简" w:hAnsi="宋体" w:eastAsia="汉仪大宋简"/>
          <w:sz w:val="48"/>
          <w:szCs w:val="48"/>
        </w:rPr>
        <w:t xml:space="preserve">实验报告</w:t>
      </w:r>
      <w:r>
        <w:rPr>
          <w:rFonts w:hint="eastAsia" w:ascii="汉仪大宋简" w:hAnsi="宋体" w:eastAsia="汉仪大宋简"/>
          <w:sz w:val="48"/>
          <w:szCs w:val="48"/>
        </w:rPr>
      </w:r>
      <w:r>
        <w:rPr>
          <w:rFonts w:hint="eastAsia" w:ascii="汉仪大宋简" w:hAnsi="宋体" w:eastAsia="汉仪大宋简"/>
          <w:sz w:val="48"/>
          <w:szCs w:val="48"/>
        </w:rPr>
      </w:r>
    </w:p>
    <w:p>
      <w:pPr>
        <w:pStyle w:val="681"/>
        <w:spacing w:line="360" w:lineRule="auto"/>
        <w:ind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</w:r>
      <w:r>
        <w:rPr>
          <w:rFonts w:hint="eastAsia" w:ascii="宋体" w:hAnsi="宋体"/>
          <w:szCs w:val="21"/>
        </w:rPr>
      </w:r>
    </w:p>
    <w:p>
      <w:pPr>
        <w:pStyle w:val="681"/>
        <w:spacing w:line="360" w:lineRule="auto"/>
        <w:ind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</w:r>
      <w:r>
        <w:rPr>
          <w:rFonts w:hint="eastAsia" w:ascii="宋体" w:hAnsi="宋体"/>
          <w:szCs w:val="21"/>
        </w:rPr>
      </w:r>
    </w:p>
    <w:p>
      <w:pPr>
        <w:pStyle w:val="681"/>
        <w:spacing w:line="360" w:lineRule="auto"/>
        <w:ind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</w:r>
      <w:r>
        <w:rPr>
          <w:rFonts w:hint="eastAsia" w:ascii="宋体" w:hAnsi="宋体"/>
          <w:szCs w:val="21"/>
        </w:rPr>
      </w:r>
    </w:p>
    <w:p>
      <w:pPr>
        <w:pStyle w:val="681"/>
        <w:spacing w:line="480" w:lineRule="auto"/>
        <w:ind w:firstLine="448"/>
        <w:jc w:val="left"/>
        <w:rPr>
          <w:rFonts w:hint="eastAsia" w:eastAsia="汉仪大宋简"/>
          <w:sz w:val="32"/>
          <w:szCs w:val="32"/>
          <w:u w:val="single"/>
        </w:rPr>
      </w:pPr>
      <w:r>
        <w:rPr>
          <w:rFonts w:ascii="宋体" w:hAnsi="宋体" w:eastAsia="宋体"/>
          <w:sz w:val="28"/>
        </w:rPr>
        <w:t>实验题目：     电商日志分析</w:t>
      </w:r>
    </w:p>
    <w:p>
      <w:pPr>
        <w:pStyle w:val="681"/>
        <w:spacing w:line="480" w:lineRule="auto"/>
        <w:ind w:firstLine="448"/>
        <w:jc w:val="left"/>
        <w:rPr>
          <w:rFonts w:eastAsia="汉仪大宋简"/>
          <w:sz w:val="32"/>
          <w:szCs w:val="32"/>
          <w:u w:val="single"/>
        </w:rPr>
      </w:pPr>
      <w:r>
        <w:rPr>
          <w:rFonts w:ascii="宋体" w:hAnsi="宋体" w:eastAsia="宋体"/>
          <w:sz w:val="28"/>
        </w:rPr>
        <w:t>班级：大数据243    学号：2400960327    姓名：许前松</w:t>
      </w:r>
    </w:p>
    <w:p>
      <w:pPr>
        <w:pStyle w:val="681"/>
        <w:spacing w:line="480" w:lineRule="auto"/>
        <w:ind w:firstLine="448"/>
        <w:jc w:val="left"/>
        <w:rPr>
          <w:rFonts w:hint="eastAsia" w:eastAsia="汉仪大宋简"/>
          <w:bCs/>
          <w:sz w:val="32"/>
          <w:szCs w:val="32"/>
        </w:rPr>
      </w:pPr>
      <w:r>
        <w:rPr>
          <w:rFonts w:ascii="宋体" w:hAnsi="宋体" w:eastAsia="宋体"/>
          <w:sz w:val="28"/>
        </w:rPr>
        <w:t>指导教师：     袁宝华</w:t>
      </w:r>
    </w:p>
    <w:p>
      <w:pPr>
        <w:pStyle w:val="681"/>
        <w:spacing w:line="480" w:lineRule="auto"/>
        <w:ind w:firstLine="448"/>
        <w:jc w:val="left"/>
        <w:rPr>
          <w:rFonts w:hint="eastAsia" w:eastAsia="汉仪大宋简"/>
          <w:sz w:val="32"/>
          <w:szCs w:val="32"/>
          <w:u w:val="single"/>
        </w:rPr>
      </w:pPr>
      <w:r>
        <w:rPr>
          <w:rFonts w:ascii="宋体" w:hAnsi="宋体" w:eastAsia="宋体"/>
          <w:sz w:val="28"/>
        </w:rPr>
        <w:t>实验完成时间：     2026年10月20日</w:t>
      </w:r>
    </w:p>
    <w:p>
      <w:pPr>
        <w:pStyle w:val="681"/>
        <w:spacing w:line="480" w:lineRule="auto"/>
        <w:ind w:firstLine="448"/>
        <w:jc w:val="left"/>
        <w:rPr>
          <w:rFonts w:hint="eastAsia" w:eastAsia="汉仪大宋简"/>
          <w:bCs/>
          <w:sz w:val="32"/>
          <w:szCs w:val="32"/>
        </w:rPr>
      </w:pPr>
      <w:r>
        <w:rPr>
          <w:rFonts w:ascii="宋体" w:hAnsi="宋体" w:eastAsia="宋体"/>
          <w:sz w:val="28"/>
        </w:rPr>
        <w:t>实验成绩：</w:t>
      </w:r>
    </w:p>
    <w:p>
      <w:pPr>
        <w:pStyle w:val="Heading1"/>
        <w:pageBreakBefore/>
      </w:pPr>
      <w:r>
        <w:t>一、实验目的</w:t>
      </w:r>
    </w:p>
    <w:p>
      <w:pPr>
        <w:ind w:firstLine="480"/>
      </w:pPr>
      <w:r>
        <w:t>本实验使用Retailrocket公开电商行为日志，搭建基于ZooKeeper、Kafka、HDFS、YARN和Spark的分布式分析系统，完成日志回放、清洗统计、历史分析及可视化展示，理解消息传输、分布式存储和跨节点计算的协作过程。</w:t>
      </w:r>
    </w:p>
    <w:p>
      <w:pPr>
        <w:ind w:firstLine="480"/>
      </w:pPr>
      <w:r>
        <w:t>系统分析浏览、加购和购买行为，展示独立访客、每日趋势、购买关联、商品分类偏好和访客画像。实验通过全量核对、故障恢复和延迟测量，检验统计结果的一致性与运行可靠性。</w:t>
      </w:r>
    </w:p>
    <w:p>
      <w:pPr>
        <w:pStyle w:val="Heading2"/>
      </w:pPr>
      <w:r>
        <w:t>1.1 团队任务</w:t>
      </w:r>
    </w:p>
    <w:tbl>
      <w:tblPr>
        <w:tblStyle w:val="12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/>
          <w:cantSplit/>
        </w:trPr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任务方向</w:t>
            </w:r>
          </w:p>
        </w:tc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主要工作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数据采集</w:t>
            </w:r>
          </w:p>
        </w:tc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输入校验与Kafka回放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实时计算</w:t>
            </w:r>
          </w:p>
        </w:tc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清洗去重、指标与检查点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历史分析</w:t>
            </w:r>
          </w:p>
        </w:tc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分类关联、画像与口径核对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服务发布</w:t>
            </w:r>
          </w:p>
        </w:tc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查询接口、控制与结果发布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页面交互</w:t>
            </w:r>
          </w:p>
        </w:tc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图表展示、筛选与操作反馈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部署验收</w:t>
            </w:r>
          </w:p>
        </w:tc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统一启停、系统集成与性能验证</w:t>
            </w:r>
          </w:p>
        </w:tc>
      </w:tr>
    </w:tbl>
    <w:p>
      <w:pPr>
        <w:pStyle w:val="Heading2"/>
      </w:pPr>
      <w:r>
        <w:t>1.2 本人任务</w:t>
      </w:r>
    </w:p>
    <w:p>
      <w:pPr>
        <w:ind w:firstLine="480"/>
      </w:pPr>
      <w:r>
        <w:t>本人许前松负责部署与集成验收模块，主要完成运行环境衔接、统一启停、流批资源编排、故障恢复核对及端到端延迟测量。在团队各模块基础上，将采集、计算、服务与页面连接为可运行、可操作的完整系统。</w:t>
      </w:r>
    </w:p>
    <w:p>
      <w:pPr>
        <w:pStyle w:val="Heading1"/>
        <w:pageBreakBefore/>
      </w:pPr>
      <w:r>
        <w:t>二、实验环境</w:t>
      </w:r>
    </w:p>
    <w:tbl>
      <w:tblPr>
        <w:tblStyle w:val="12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/>
          <w:cantSplit/>
        </w:trPr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组件或环境</w:t>
            </w:r>
          </w:p>
        </w:tc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配置与作用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集群节点</w:t>
            </w:r>
          </w:p>
        </w:tc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hadoop01、hadoop02、hadoop03，三台虚拟机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ZooKeeper</w:t>
            </w:r>
          </w:p>
        </w:tc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提供集群协调，支持Kafka与HDFS HA相关服务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Hadoop / Java</w:t>
            </w:r>
          </w:p>
        </w:tc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Hadoop 3.1.3 / Java 8u212，提供HDFS与YARN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Kafka</w:t>
            </w:r>
          </w:p>
        </w:tc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3.7.0，回放轮次使用专属三分区topic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Spark</w:t>
            </w:r>
          </w:p>
        </w:tc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3.5.6 / Scala 2.12，执行实时与历史计算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Python</w:t>
            </w:r>
          </w:p>
        </w:tc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CPython 3.11.16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后端与查询</w:t>
            </w:r>
          </w:p>
        </w:tc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FastAPI / DuckDB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前端</w:t>
            </w:r>
          </w:p>
        </w:tc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React、TypeScript、Ant Design、ECharts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计算资源</w:t>
            </w:r>
          </w:p>
        </w:tc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两个单核executor，各分配1024MiB；AM分配1024MiB；YARN合计3GiB，client driver另计</w:t>
            </w:r>
          </w:p>
        </w:tc>
      </w:tr>
    </w:tbl>
    <w:p>
      <w:pPr>
        <w:ind w:firstLine="480"/>
      </w:pPr>
      <w:r>
        <w:t>三台虚拟机位于同一宿主机。实验验证了跨节点任务执行，但不具备跨物理机容灾条件。运行前检查集群服务、连接器版本及可用资源，按数据规模选择状态分区配置。</w:t>
      </w:r>
    </w:p>
    <w:p>
      <w:pPr>
        <w:pStyle w:val="Heading2"/>
      </w:pPr>
      <w:r>
        <w:t>2.1 实验数据</w:t>
      </w:r>
    </w:p>
    <w:p>
      <w:pPr>
        <w:ind w:firstLine="480"/>
      </w:pPr>
      <w:r>
        <w:t>原始行为数据包含2,756,101条事件、1,407,580个访客ID，时间范围为2015年5月3日至9月18日，按UTC覆盖139个日期。其中浏览2,664,312次、加购69,332次、购买22,457次。历史回放保留原始事件时间，访客ID仅作为数据中的行为主体标识。</w:t>
      </w:r>
    </w:p>
    <w:p>
      <w:pPr>
        <w:pStyle w:val="Heading1"/>
        <w:pageBreakBefore/>
      </w:pPr>
      <w:r>
        <w:t>三、实验内容</w:t>
      </w:r>
    </w:p>
    <w:p>
      <w:pPr>
        <w:pStyle w:val="Heading2"/>
      </w:pPr>
      <w:r>
        <w:t>3.1 作业总体流程</w:t>
      </w:r>
    </w:p>
    <w:p>
      <w:pPr>
        <w:pStyle w:val="Heading2"/>
      </w:pPr>
      <w:r>
        <w:t>（1）数据准备</w:t>
      </w:r>
    </w:p>
    <w:p>
      <w:pPr>
        <w:ind w:firstLine="480"/>
      </w:pPr>
      <w:r>
        <w:t>校验公开数据文件，保存数据版本、文件摘要与源行号。固定小样本用于联调，完整数据用于最终统计核对。</w:t>
      </w:r>
    </w:p>
    <w:p>
      <w:pPr>
        <w:pStyle w:val="Heading2"/>
      </w:pPr>
      <w:r>
        <w:t>（2）日志回放采集</w:t>
      </w:r>
    </w:p>
    <w:p>
      <w:pPr>
        <w:ind w:firstLine="480"/>
      </w:pPr>
      <w:r>
        <w:t>生产者按设定速率发送至Kafka，记录发送确认与持久游标，支持启动、暂停、继续及提前停止。ZooKeeper提供相关集群协调。</w:t>
      </w:r>
    </w:p>
    <w:p>
      <w:pPr>
        <w:pStyle w:val="Heading2"/>
      </w:pPr>
      <w:r>
        <w:t>（3）实时处理与存储</w:t>
      </w:r>
    </w:p>
    <w:p>
      <w:pPr>
        <w:ind w:firstLine="480"/>
      </w:pPr>
      <w:r>
        <w:t>Spark在YARN上分配资源，消费Kafka消息并清洗、按源记录去重，将原始消息、结果和检查点保存到HDFS。</w:t>
      </w:r>
    </w:p>
    <w:p>
      <w:pPr>
        <w:pStyle w:val="Heading2"/>
      </w:pPr>
      <w:r>
        <w:t>（4）历史分析与发布</w:t>
      </w:r>
    </w:p>
    <w:p>
      <w:pPr>
        <w:ind w:firstLine="480"/>
      </w:pPr>
      <w:r>
        <w:t>完整回放排空并释放流资源后，批处理从HDFS读取输入，计算趋势、购买交集、时点分类及画像。校验通过后切换已发布结果。</w:t>
      </w:r>
    </w:p>
    <w:p>
      <w:pPr>
        <w:pStyle w:val="Heading2"/>
      </w:pPr>
      <w:r>
        <w:t>（5）查询展示与检验</w:t>
      </w:r>
    </w:p>
    <w:p>
      <w:pPr>
        <w:ind w:firstLine="480"/>
      </w:pPr>
      <w:r>
        <w:t>FastAPI和DuckDB查询本地结果快照，React展示图表。通过全量计数、跨节点任务、恢复用例和页面可见延迟检查系统。</w:t>
      </w:r>
    </w:p>
    <w:p>
      <w:pPr>
        <w:pStyle w:val="Heading2"/>
      </w:pPr>
      <w:r>
        <w:t>3.2 统计口径</w:t>
      </w:r>
    </w:p>
    <w:p>
      <w:pPr>
        <w:ind w:firstLine="480"/>
      </w:pPr>
      <w:r>
        <w:t>事件数按有效唯一源记录统计，物理消息量包含恢复重试。不同源行即使内容相同也保留。访客按visitorid去重，日期按UTC划分；区间独立访客重新去重，购买关联表示访客集合交集。商品分类只使用不晚于事件发生时间的属性快照，未知分类单独统计。</w:t>
      </w:r>
    </w:p>
    <w:p>
      <w:pPr>
        <w:pStyle w:val="Heading2"/>
        <w:pageBreakBefore/>
      </w:pPr>
      <w:r>
        <w:t>系统整体架构</w:t>
      </w:r>
    </w:p>
    <w:p>
      <w:pPr>
        <w:keepNext/>
        <w:jc w:val="center"/>
      </w:pPr>
      <w:r>
        <w:drawing>
          <wp:inline xmlns:pic="http://schemas.openxmlformats.org/drawingml/2006/picture">
            <wp:extent cx="5852160" cy="32964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6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图3-1 系统架构与大数据组件</w:t>
      </w:r>
    </w:p>
    <w:p>
      <w:pPr>
        <w:ind w:firstLine="480"/>
      </w:pPr>
      <w:r>
        <w:t>ZooKeeper提供集群协调，Kafka传输日志，Spark在YARN调度下完成计算，HDFS保存原始数据和计算状态。经过校验的结果导出为本地只读快照，由后端查询并在页面展示。实时处理与历史分析分别计算，再核对相同输入下的统计结果。</w:t>
      </w:r>
    </w:p>
    <w:p>
      <w:pPr>
        <w:pStyle w:val="Heading2"/>
      </w:pPr>
      <w:r>
        <w:t>3.3 本人负责模块的设计</w:t>
      </w:r>
    </w:p>
    <w:p>
      <w:pPr>
        <w:ind w:firstLine="480"/>
      </w:pPr>
      <w:r>
        <w:t>部署模块统一检查环境、启动依赖、准备输入并运行服务，记录本次进程和回放身份。集成检验同时检查Kafka进度、HDFS输出、YARN任务状态及页面结果，避免仅以页面能打开作为完成标准。</w:t>
      </w:r>
    </w:p>
    <w:p>
      <w:pPr>
        <w:ind w:firstLine="480"/>
      </w:pPr>
      <w:r>
        <w:t>流任务的executor在hadoop02、hadoop03执行，历史任务覆盖hadoop01、hadoop02。client driver位于提交节点，单独记录其资源使用。系统同时只保留一个活动回放轮次，控制操作与查询结果均绑定轮次身份。</w:t>
      </w:r>
    </w:p>
    <w:p>
      <w:pPr>
        <w:pStyle w:val="Heading2"/>
        <w:pageBreakBefore/>
      </w:pPr>
      <w:r>
        <w:t>本人模块：统一启停与资源编排</w:t>
      </w:r>
    </w:p>
    <w:p>
      <w:pPr>
        <w:pStyle w:val="Heading2"/>
      </w:pPr>
      <w:r>
        <w:t>3.4 统一启动与安全停止</w:t>
      </w:r>
    </w:p>
    <w:p>
      <w:pPr>
        <w:ind w:firstLine="480"/>
      </w:pPr>
      <w:r>
        <w:t>手工启动多个组件容易出现依赖未就绪、重复入口和端口占用。为此采用./demo作为统一入口，依次检查环境、启动集群和服务，记录本次拥有的进程。发现重复入口或端口冲突时明确报错，避免误终止其他进程。</w:t>
      </w:r>
    </w:p>
    <w:p>
      <w:pPr>
        <w:ind w:firstLine="480"/>
      </w:pPr>
      <w:r>
        <w:t>暂停只停止生产，消费者继续处理积压；继续从原位置发送。./demo stop在运行或暂停状态下先请求提前停止并等待排空；若正在历史分析或发布，则等待该阶段结束，再停止服务、集群并正常关闭虚拟机。失败、待恢复或超时时保留现场，便于排查。</w:t>
      </w:r>
    </w:p>
    <w:tbl>
      <w:tblPr>
        <w:tblStyle w:val="12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/>
          <w:cantSplit/>
        </w:trPr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操作</w:t>
            </w:r>
          </w:p>
        </w:tc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处理结果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暂停 / 继续</w:t>
            </w:r>
          </w:p>
        </w:tc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停止发送 / 继续发送输入后缀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提前停止</w:t>
            </w:r>
          </w:p>
        </w:tc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排空已发送消息，保留不完整标识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关闭浏览器</w:t>
            </w:r>
          </w:p>
        </w:tc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后台继续运行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Ctrl+C</w:t>
            </w:r>
          </w:p>
        </w:tc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清理本次API与网页进程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./demo stop</w:t>
            </w:r>
          </w:p>
        </w:tc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确认轮次安全结束后停止服务与虚拟机</w:t>
            </w:r>
          </w:p>
        </w:tc>
      </w:tr>
    </w:tbl>
    <w:p>
      <w:pPr>
        <w:pStyle w:val="Heading2"/>
      </w:pPr>
      <w:r>
        <w:t>3.5 资源不足问题与改进</w:t>
      </w:r>
    </w:p>
    <w:p>
      <w:pPr>
        <w:ind w:firstLine="480"/>
      </w:pPr>
      <w:r>
        <w:t>全量处理初次使用两个状态分区，在确认1,516,976条记录时出现RocksDB缓存不足。小样本配置难以直接承载完整精确去重状态，流批同时运行也会争抢有限容器。</w:t>
      </w:r>
    </w:p>
    <w:p>
      <w:pPr>
        <w:ind w:firstLine="480"/>
      </w:pPr>
      <w:r>
        <w:t>改进后，全量任务使用独立新轮次和24个状态分区，保留原失败检查点。完整回放结束后，先保存实时结果并释放流资源，再执行历史批处理。小样本延迟测试使用单独配置，避免混用不同规模的参数。</w:t>
      </w:r>
    </w:p>
    <w:p>
      <w:pPr>
        <w:pStyle w:val="Heading2"/>
        <w:pageBreakBefore/>
      </w:pPr>
      <w:r>
        <w:t>本人模块：性能测量与故障恢复</w:t>
      </w:r>
    </w:p>
    <w:p>
      <w:pPr>
        <w:pStyle w:val="Heading2"/>
      </w:pPr>
      <w:r>
        <w:t>3.6 端到端延迟测量与优化</w:t>
      </w:r>
    </w:p>
    <w:p>
      <w:pPr>
        <w:ind w:firstLine="480"/>
      </w:pPr>
      <w:r>
        <w:t>节点与宿主机的时间存在偏差，直接相减会得到错误延迟。测量从Kafka实际ACK时刻开始，到包含该消息的统计首次在页面绘制为止，通过topic、partition和offset逐条匹配，并校准跨机器时间，将不确定度计入延迟上界。</w:t>
      </w:r>
    </w:p>
    <w:tbl>
      <w:tblPr>
        <w:tblStyle w:val="12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/>
          <w:cantSplit/>
        </w:trPr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优化阶段</w:t>
            </w:r>
          </w:p>
        </w:tc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P95延迟上界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初次测量</w:t>
            </w:r>
          </w:p>
        </w:tc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13.62秒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观察路径优化</w:t>
            </w:r>
          </w:p>
        </w:tc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12.27秒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增量检查点</w:t>
            </w:r>
          </w:p>
        </w:tc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11.36秒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原始写入合并</w:t>
            </w:r>
          </w:p>
        </w:tc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10.82秒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小样本配置，5分钟预检</w:t>
            </w:r>
          </w:p>
        </w:tc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9.48秒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独立15分钟正式测量</w:t>
            </w:r>
          </w:p>
        </w:tc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8.58秒</w:t>
            </w:r>
          </w:p>
        </w:tc>
      </w:tr>
    </w:tbl>
    <w:p>
      <w:pPr>
        <w:ind w:firstLine="480"/>
      </w:pPr>
      <w:r>
        <w:t>优化过程保留完整样本，未降低10秒验收门槛。正式测试约5条/秒，覆盖4492条发送确认，持续902.97秒。该结果对应小样本配置，不能直接推断全量突发场景的延迟。</w:t>
      </w:r>
    </w:p>
    <w:p>
      <w:pPr>
        <w:pStyle w:val="Heading2"/>
      </w:pPr>
      <w:r>
        <w:t>3.7 恢复去重与状态竞态</w:t>
      </w:r>
    </w:p>
    <w:p>
      <w:pPr>
        <w:ind w:firstLine="480"/>
      </w:pPr>
      <w:r>
        <w:t>故障用例在第200条ACK后、游标落盘前中断，持久游标停在199，而Kafka已有203条消息。恢复原轮次与检查点后，不确定尾部重发，最终363条物理消息对应359条唯一源记录，4条重试未增加业务计数。</w:t>
      </w:r>
    </w:p>
    <w:p>
      <w:pPr>
        <w:ind w:firstLine="480"/>
      </w:pPr>
      <w:r>
        <w:t>另一个问题是旧恢复观察结果可能覆盖新发起的历史重试状态。改进后，每次控制操作递增控制代数，只有轮次和代数仍匹配时才采纳观察结果，前端同时清除过期反馈。集成检查因此既验证请求成功，也验证后续状态不会被旧请求改写。</w:t>
      </w:r>
    </w:p>
    <w:p>
      <w:pPr>
        <w:pStyle w:val="Heading2"/>
        <w:pageBreakBefore/>
      </w:pPr>
      <w:r>
        <w:t>本人模块：历史与实时隔离</w:t>
      </w:r>
    </w:p>
    <w:p>
      <w:pPr>
        <w:pStyle w:val="Heading2"/>
      </w:pPr>
      <w:r>
        <w:t>3.8 展示隔离与现场演示</w:t>
      </w:r>
    </w:p>
    <w:p>
      <w:pPr>
        <w:ind w:firstLine="480"/>
      </w:pPr>
      <w:r>
        <w:t>完整历史结果需要稳定展示，而现场实时演示需要观察少量消息的发送、积压与控制。若实时轮次直接替换历史数据，讲解中的图表范围就会变化。为此将全量历史副本和实时轮次结果分别保存。</w:t>
      </w:r>
    </w:p>
    <w:tbl>
      <w:tblPr>
        <w:tblStyle w:val="12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/>
          <w:cantSplit/>
        </w:trPr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内容</w:t>
            </w:r>
          </w:p>
        </w:tc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处理方式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固定全量历史</w:t>
            </w:r>
          </w:p>
        </w:tc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保存到.demo/full-history-published，供历史页面查询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实时回放</w:t>
            </w:r>
          </w:p>
        </w:tc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使用独立topic、检查点及轮次统计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普通结果发布</w:t>
            </w:r>
          </w:p>
        </w:tc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写入.demo/published，保留固定展示副本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离线展示</w:t>
            </w:r>
          </w:p>
        </w:tc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使用--full-history --history-only启动</w:t>
            </w:r>
          </w:p>
        </w:tc>
      </w:tr>
    </w:tbl>
    <w:p>
      <w:pPr>
        <w:ind w:firstLine="480"/>
      </w:pPr>
      <w:r>
        <w:t>通过./demo --full-history同时展示固定历史和真实实时过程。课堂演示按启动、暂停、继续和提前停止展示状态与计数变化，无需等待10000条样本按每秒5条自然结束。演示结束后先等待排空，再正常停止服务与虚拟机。</w:t>
      </w:r>
    </w:p>
    <w:p>
      <w:pPr>
        <w:pStyle w:val="Heading2"/>
      </w:pPr>
      <w:r>
        <w:t>3.9 集成检查方法</w:t>
      </w:r>
    </w:p>
    <w:p>
      <w:pPr>
        <w:ind w:firstLine="480"/>
      </w:pPr>
      <w:r>
        <w:t>本人从固定输入出发，核对Kafka各分区进度、HDFS原始与结果数据、YARN执行节点及页面统计。对正常完成、暂停、提前停止、故障恢复和发布失败分别检查，确保失败保留旧成功结果，检查点损坏时明确报错。</w:t>
      </w:r>
    </w:p>
    <w:p>
      <w:pPr>
        <w:pStyle w:val="Heading1"/>
        <w:pageBreakBefore/>
      </w:pPr>
      <w:r>
        <w:t>四、实验结果</w:t>
      </w:r>
    </w:p>
    <w:p>
      <w:pPr>
        <w:pStyle w:val="Heading2"/>
      </w:pPr>
      <w:r>
        <w:t>4.1 全量正确性与跨节点执行</w:t>
      </w:r>
    </w:p>
    <w:tbl>
      <w:tblPr>
        <w:tblStyle w:val="12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/>
          <w:cantSplit/>
        </w:trPr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项目</w:t>
            </w:r>
          </w:p>
        </w:tc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真实全量结果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原始输入 / 确认 / 消费 / 唯一源 / 有效</w:t>
            </w:r>
          </w:p>
        </w:tc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均为2,756,101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浏览 / 加购 / 购买</w:t>
            </w:r>
          </w:p>
        </w:tc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2,664,312 / 69,332 / 22,457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独立访客</w:t>
            </w:r>
          </w:p>
        </w:tc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1,407,580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异常 / 源重试 / 疑似内容重复</w:t>
            </w:r>
          </w:p>
        </w:tc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0 / 0 / 460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UTC日期与行为桶</w:t>
            </w:r>
          </w:p>
        </w:tc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417个，实时与新历史逐桶一致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分类关联覆盖</w:t>
            </w:r>
          </w:p>
        </w:tc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2,099,173已关联；656,928未知；76.16%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流应用 / 历史应用</w:t>
            </w:r>
          </w:p>
        </w:tc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0018 / 0019，均FINISHED/SUCCEEDED</w:t>
            </w:r>
          </w:p>
        </w:tc>
      </w:tr>
    </w:tbl>
    <w:p>
      <w:pPr>
        <w:ind w:firstLine="480"/>
      </w:pPr>
      <w:r>
        <w:t>独立的新轮次实际生产完整数据，不以旧V1 topic读取替代生产者链路。流任务约1000.737秒，后续历史任务约258.351秒，先后执行。Kafka最终三个分区exclusive offset分别为920007、917873、918221，总和为2,756,101；输出、检查点和已发布历史均保留。</w:t>
      </w:r>
    </w:p>
    <w:p>
      <w:pPr>
        <w:ind w:firstLine="480"/>
      </w:pPr>
      <w:r>
        <w:t>全量结果与相同输入的既有统计一致，实际平均生产速率约2785条/秒。全量测试检查正确性，正常负载测试单独评估延迟。</w:t>
      </w:r>
    </w:p>
    <w:p>
      <w:pPr>
        <w:ind w:firstLine="480"/>
      </w:pPr>
      <w:r>
        <w:t>全量正确性与正常负载性能采用独立运行分别验证。性能测试对应部署版本e8090f6，后续启停与恢复改进未重新执行同一组全量性能测试。</w:t>
      </w:r>
    </w:p>
    <w:p>
      <w:pPr>
        <w:pStyle w:val="Heading2"/>
        <w:pageBreakBefore/>
      </w:pPr>
      <w:r>
        <w:t>行为与购买关联</w:t>
      </w:r>
    </w:p>
    <w:p>
      <w:pPr>
        <w:keepNext/>
        <w:jc w:val="center"/>
      </w:pPr>
      <w:r>
        <w:drawing>
          <wp:inline xmlns:pic="http://schemas.openxmlformats.org/drawingml/2006/picture">
            <wp:extent cx="5806440" cy="32020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行为概览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02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图4-1 实际行为概览页面：四类趋势共享UTC日期，纵轴各自独立</w:t>
      </w:r>
    </w:p>
    <w:p>
      <w:pPr>
        <w:ind w:firstLine="480"/>
      </w:pPr>
      <w:r>
        <w:t>页面按UTC日期展示浏览、加购、购买和每日独立访客。各纵轴独立从0开始，不能跨图比较曲线高度。独立访客按所选范围重新去重，不把139天的每日人数直接相加。末端日期只包含数据中实际存在的事件，不能将末尾下降简单解释为经营突然恶化。</w:t>
      </w:r>
    </w:p>
    <w:p>
      <w:pPr>
        <w:keepNext/>
        <w:jc w:val="center"/>
      </w:pPr>
      <w:r>
        <w:drawing>
          <wp:inline xmlns:pic="http://schemas.openxmlformats.org/drawingml/2006/picture">
            <wp:extent cx="5806440" cy="31905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购买关联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90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图4-2 实际购买关联页面：交集与事件次数分别解释</w:t>
      </w:r>
    </w:p>
    <w:p>
      <w:pPr>
        <w:pStyle w:val="Heading2"/>
        <w:pageBreakBefore/>
      </w:pPr>
      <w:r>
        <w:t>分类与画像</w:t>
      </w:r>
    </w:p>
    <w:p>
      <w:pPr>
        <w:keepNext/>
        <w:jc w:val="center"/>
      </w:pPr>
      <w:r>
        <w:drawing>
          <wp:inline xmlns:pic="http://schemas.openxmlformats.org/drawingml/2006/picture">
            <wp:extent cx="5806440" cy="32193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分类关联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19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图4-3 分类关联页面：保留未知类别并说明时点关联</w:t>
      </w:r>
    </w:p>
    <w:p>
      <w:pPr>
        <w:ind w:firstLine="480"/>
      </w:pPr>
      <w:r>
        <w:t>分类覆盖率76.16%对应已关联事件占全部有效事件的比例；未知部分仍在质量统计中保留。群体画像与单访客查询采用不同视角，群体分布不随当前分页或单访客选择改变。</w:t>
      </w:r>
    </w:p>
    <w:p>
      <w:pPr>
        <w:keepNext/>
        <w:jc w:val="center"/>
      </w:pPr>
      <w:r>
        <w:drawing>
          <wp:inline xmlns:pic="http://schemas.openxmlformats.org/drawingml/2006/picture">
            <wp:extent cx="5806440" cy="31730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用户画像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73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图4-4 用户画像页面：活跃天数、最近活跃间隔与单访客偏好</w:t>
      </w:r>
    </w:p>
    <w:p>
      <w:pPr>
        <w:pStyle w:val="Heading2"/>
        <w:pageBreakBefore/>
      </w:pPr>
      <w:r>
        <w:t>质量与实时展示</w:t>
      </w:r>
    </w:p>
    <w:p>
      <w:pPr>
        <w:keepNext/>
        <w:jc w:val="center"/>
      </w:pPr>
      <w:r>
        <w:drawing>
          <wp:inline xmlns:pic="http://schemas.openxmlformats.org/drawingml/2006/picture">
            <wp:extent cx="5806440" cy="322713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数据质量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271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图4-5 实际数据质量页面：有效、异常和关联信息分别呈现</w:t>
      </w:r>
    </w:p>
    <w:p>
      <w:pPr>
        <w:ind w:firstLine="480"/>
      </w:pPr>
      <w:r>
        <w:t>全量异常为0是本次输入和规则下的结果，不表示所有可能输入都无异常。疑似内容重复460条仍按不同源行保留。实时截图仅代表当时独立轮次的已处理结果，860条有效事件等数字不是全量最终值。</w:t>
      </w:r>
    </w:p>
    <w:p>
      <w:pPr>
        <w:keepNext/>
        <w:jc w:val="center"/>
      </w:pPr>
      <w:r>
        <w:drawing>
          <wp:inline xmlns:pic="http://schemas.openxmlformats.org/drawingml/2006/picture">
            <wp:extent cx="5806440" cy="321207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实时监控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12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图4-6 实时页面：本轮结果、原始事件时间和当前处理时间分开标识</w:t>
      </w:r>
    </w:p>
    <w:p>
      <w:pPr>
        <w:pStyle w:val="Heading2"/>
        <w:pageBreakBefore/>
      </w:pPr>
      <w:r>
        <w:t>性能与故障验收</w:t>
      </w:r>
    </w:p>
    <w:p>
      <w:pPr>
        <w:pStyle w:val="Heading2"/>
      </w:pPr>
      <w:r>
        <w:t>4.3 正式正常负载性能</w:t>
      </w:r>
    </w:p>
    <w:p>
      <w:pPr>
        <w:keepNext/>
        <w:jc w:val="center"/>
      </w:pPr>
      <w:r>
        <w:drawing>
          <wp:inline xmlns:pic="http://schemas.openxmlformats.org/drawingml/2006/picture">
            <wp:extent cx="5852160" cy="329641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6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图4-7 性能优化与正式测试结果</w:t>
      </w:r>
    </w:p>
    <w:tbl>
      <w:tblPr>
        <w:tblStyle w:val="12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/>
          <w:cantSplit/>
        </w:trPr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项目</w:t>
            </w:r>
          </w:p>
        </w:tc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独立正式窗口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输入与时长</w:t>
            </w:r>
          </w:p>
        </w:tc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约5条/秒，实际ACK跨度902.9717秒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样本覆盖</w:t>
            </w:r>
          </w:p>
        </w:tc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4492/4492实际ACK匹配首次页面绘制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P50 / P95保守上界</w:t>
            </w:r>
          </w:p>
        </w:tc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6.23秒 / 8.58秒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P99 / 最大保守上界</w:t>
            </w:r>
          </w:p>
        </w:tc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10.17秒 / 14.72秒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积压与结束</w:t>
            </w:r>
          </w:p>
        </w:tc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分钟中位数29→25，无持续增长；停止后lag0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计时与资源</w:t>
            </w:r>
          </w:p>
        </w:tc>
        <w:tc>
          <w:tcPr>
            <w:tcW w:type="dxa" w:w="4873"/>
          </w:tcPr>
          <w:p>
            <w:pPr>
              <w:spacing w:after="60" w:line="276" w:lineRule="auto"/>
            </w:pPr>
            <w:r>
              <w:rPr>
                <w:sz w:val="21"/>
              </w:rPr>
              <w:t>含校时不确定度；YARN实际分配3GiB，driver另计</w:t>
            </w:r>
          </w:p>
        </w:tc>
      </w:tr>
    </w:tbl>
    <w:p>
      <w:pPr>
        <w:ind w:firstLine="480"/>
      </w:pPr>
      <w:r>
        <w:t>验收标准针对P95≤10秒，并非所有消息都在10秒以内。全部首次数据ACK纳入正式窗口，不混入故意制造积压、故障恢复或关闭浏览器阶段。页面轮询中位间隔约2.014秒，实际确认速率约4.974条/秒。该结论仅适用于记录的输入规模、正常profile和资源配置。</w:t>
      </w:r>
    </w:p>
    <w:p>
      <w:pPr>
        <w:pStyle w:val="Heading2"/>
      </w:pPr>
      <w:r>
        <w:t>4.4 故障与交互核对</w:t>
      </w:r>
    </w:p>
    <w:p>
      <w:pPr>
        <w:ind w:firstLine="480"/>
      </w:pPr>
      <w:r>
        <w:t>真实恢复验证同一已填充检查点下4条不确定尾部重试的精确去重；暂停时消费者继续排空；关闭浏览器后后台仍推进；提前停止不自动发布部分历史；失败保留旧成功批次。V2集成全量回归记录为81项通过，分类等价提取后另外两条公开Spark回归通过，浏览器完整页面与日期查询均有实测记录。以上回归与恢复测试在各自开发阶段完成。</w:t>
      </w:r>
    </w:p>
    <w:p>
      <w:pPr>
        <w:pStyle w:val="Heading1"/>
        <w:pageBreakBefore/>
      </w:pPr>
      <w:r>
        <w:t>五、实验小结</w:t>
      </w:r>
    </w:p>
    <w:p>
      <w:pPr>
        <w:pStyle w:val="Heading2"/>
      </w:pPr>
      <w:r>
        <w:t>5.1 个人设计心得</w:t>
      </w:r>
    </w:p>
    <w:p>
      <w:pPr>
        <w:ind w:firstLine="480"/>
      </w:pPr>
      <w:r>
        <w:t>通过部署与集成模块，我认识到“能启动”只是系统可用的起点。一个看似简单的页面操作，实际跨越本机进程、SSH提交、Kafka确认、Spark状态、HDFS提交与发布指针。若缺少稳定身份和清晰阶段，界面显示成功并不代表数据已正确处理。因而我把运行入口、状态边界和可核对证据作为本模块的共同约束。</w:t>
      </w:r>
    </w:p>
    <w:p>
      <w:pPr>
        <w:ind w:firstLine="480"/>
      </w:pPr>
      <w:r>
        <w:t>资源问题也不能只靠增加重试解决。完整数据在两个状态分区下失败后，直接复用小样本配置或覆盖旧检查点会失去诊断依据。根据实际状态规模设定新轮次profile，并采用流批顺序执行，既保留错误证据，也让结果完整性有明确解释。这个过程使我更加重视设计取舍及其适用条件。</w:t>
      </w:r>
    </w:p>
    <w:p>
      <w:pPr>
        <w:ind w:firstLine="480"/>
      </w:pPr>
      <w:r>
        <w:t>性能验证改变了我对“实时”的理解。消息进入Kafka、检查点提交和页面看到结果是三个不同时间；跨机器时钟有偏差时，直接相减甚至无法得出可信数字。以实际ACK和首次绘制覆盖为边界，保留所有样本及误差上界，才能说明8.58秒的含义，不能只拿某次页面刷新很快作为结论。</w:t>
      </w:r>
    </w:p>
    <w:p>
      <w:pPr>
        <w:ind w:firstLine="480"/>
      </w:pPr>
      <w:r>
        <w:t>在协作方面，统一入口不意味着由一个人重写所有模块。明确输入输出契约、对齐进度和错误含义、让各模块保留独立期望测试，更有利于定位问题。本次实践让我学会从整个处理流程定位故障，并用可重复的检查验证改进效果。</w:t>
      </w:r>
    </w:p>
    <w:p>
      <w:pPr>
        <w:pStyle w:val="Heading2"/>
      </w:pPr>
      <w:r>
        <w:t>5.2 局限与后续改进</w:t>
      </w:r>
    </w:p>
    <w:p>
      <w:pPr>
        <w:ind w:firstLine="480"/>
      </w:pPr>
      <w:r>
        <w:t>现有系统面向本机单人演示，三台虚拟机共用宿主，不能代表跨物理机器容灾。正常延迟验收使用小样本profile，不能推断完整精确状态的相同延迟。后续可在独立物理资源上继续测量状态增长、资源峰值和恢复时间，并完善启动前检查、故障提示与演练记录。每次优化仍需保持统计口径和旧发布保护。</w:t>
      </w:r>
    </w:p>
    <w:sectPr>
      <w:footerReference w:type="default" r:id="rId9"/>
      <w:footnotePr/>
      <w:endnotePr>
        <w:numFmt w:val="decimal"/>
      </w:endnotePr>
      <w:type w:val="nextPage"/>
      <w:pgSz w:h="16838" w:orient="portrait" w:w="11906"/>
      <w:pgMar w:top="1440" w:right="1080" w:bottom="1440" w:left="1080" w:header="851" w:footer="992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汉仪大宋简">
    <w:panose1 w:val="02010600030101010101"/>
  </w:font>
  <w:font w:name="华文行楷">
    <w:panose1 w:val="02010600030101010101"/>
  </w:font>
  <w:font w:name="Calibri">
    <w:panose1 w:val="020F0502020204030204"/>
  </w:font>
  <w:font w:name="Courier New">
    <w:panose1 w:val="02070409020205020404"/>
  </w:font>
  <w:font w:name="Cambria">
    <w:panose1 w:val="02040503050406030204"/>
  </w:font>
  <w:font w:name="华文中宋">
    <w:panose1 w:val="02010600030101010101"/>
  </w:font>
  <w:font w:name="黑体">
    <w:panose1 w:val="02010609060101010101"/>
  </w:font>
  <w:font w:name="Arial">
    <w:panose1 w:val="020B0604020202020204"/>
  </w:font>
  <w:font w:name="宋体">
    <w:panose1 w:val="02010600030101010101"/>
  </w:font>
  <w:font w:name="Times New Roman">
    <w:panose1 w:val="02020603050405020304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/>
        <w:ind/>
        <w:rPr/>
      </w:pPr>
      <w:r>
        <w:separator/>
      </w:r>
      <w:r/>
    </w:p>
  </w:footnote>
  <w:footnote w:type="continuationSeparator" w:id="0">
    <w:p>
      <w:pPr>
        <w:spacing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81"/>
    <w:next w:val="681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81"/>
    <w:next w:val="681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81"/>
    <w:next w:val="681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81"/>
    <w:next w:val="681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81"/>
    <w:next w:val="681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81"/>
    <w:next w:val="681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81"/>
    <w:next w:val="681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1"/>
    <w:next w:val="681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1"/>
    <w:next w:val="681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81"/>
    <w:next w:val="681"/>
    <w:link w:val="160"/>
    <w:uiPriority w:val="10"/>
    <w:qFormat/>
    <w:pPr>
      <w:keepNext/>
      <w:pBdr/>
      <w:spacing w:after="80" w:line="240" w:lineRule="auto"/>
      <w:ind/>
      <w:contextualSpacing w:val="true"/>
    </w:pPr>
    <w:rPr>
      <w:rFonts w:ascii="宋体" w:hAnsi="宋体" w:eastAsia="宋体" w:cs="Arial"/>
      <w:b/>
      <w:color w:val="000000"/>
      <w:spacing w:val="-10"/>
      <w:sz w:val="24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81"/>
    <w:next w:val="681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1"/>
    <w:next w:val="681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81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1"/>
    <w:next w:val="681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1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1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81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81"/>
    <w:next w:val="68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8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1"/>
    <w:next w:val="681"/>
    <w:uiPriority w:val="39"/>
    <w:unhideWhenUsed/>
    <w:pPr>
      <w:pBdr/>
      <w:spacing w:after="100"/>
      <w:ind/>
    </w:pPr>
  </w:style>
  <w:style w:type="paragraph" w:styleId="190">
    <w:name w:val="toc 2"/>
    <w:basedOn w:val="681"/>
    <w:next w:val="681"/>
    <w:uiPriority w:val="39"/>
    <w:unhideWhenUsed/>
    <w:pPr>
      <w:pBdr/>
      <w:spacing w:after="100"/>
      <w:ind w:left="220"/>
    </w:pPr>
  </w:style>
  <w:style w:type="paragraph" w:styleId="191">
    <w:name w:val="toc 3"/>
    <w:basedOn w:val="681"/>
    <w:next w:val="681"/>
    <w:uiPriority w:val="39"/>
    <w:unhideWhenUsed/>
    <w:pPr>
      <w:pBdr/>
      <w:spacing w:after="100"/>
      <w:ind w:left="440"/>
    </w:pPr>
  </w:style>
  <w:style w:type="paragraph" w:styleId="192">
    <w:name w:val="toc 4"/>
    <w:basedOn w:val="681"/>
    <w:next w:val="681"/>
    <w:uiPriority w:val="39"/>
    <w:unhideWhenUsed/>
    <w:pPr>
      <w:pBdr/>
      <w:spacing w:after="100"/>
      <w:ind w:left="660"/>
    </w:pPr>
  </w:style>
  <w:style w:type="paragraph" w:styleId="193">
    <w:name w:val="toc 5"/>
    <w:basedOn w:val="681"/>
    <w:next w:val="681"/>
    <w:uiPriority w:val="39"/>
    <w:unhideWhenUsed/>
    <w:pPr>
      <w:pBdr/>
      <w:spacing w:after="100"/>
      <w:ind w:left="880"/>
    </w:pPr>
  </w:style>
  <w:style w:type="paragraph" w:styleId="194">
    <w:name w:val="toc 6"/>
    <w:basedOn w:val="681"/>
    <w:next w:val="681"/>
    <w:uiPriority w:val="39"/>
    <w:unhideWhenUsed/>
    <w:pPr>
      <w:pBdr/>
      <w:spacing w:after="100"/>
      <w:ind w:left="1100"/>
    </w:pPr>
  </w:style>
  <w:style w:type="paragraph" w:styleId="195">
    <w:name w:val="toc 7"/>
    <w:basedOn w:val="681"/>
    <w:next w:val="681"/>
    <w:uiPriority w:val="39"/>
    <w:unhideWhenUsed/>
    <w:pPr>
      <w:pBdr/>
      <w:spacing w:after="100"/>
      <w:ind w:left="1320"/>
    </w:pPr>
  </w:style>
  <w:style w:type="paragraph" w:styleId="196">
    <w:name w:val="toc 8"/>
    <w:basedOn w:val="681"/>
    <w:next w:val="681"/>
    <w:uiPriority w:val="39"/>
    <w:unhideWhenUsed/>
    <w:pPr>
      <w:pBdr/>
      <w:spacing w:after="100"/>
      <w:ind w:left="1540"/>
    </w:pPr>
  </w:style>
  <w:style w:type="paragraph" w:styleId="197">
    <w:name w:val="toc 9"/>
    <w:basedOn w:val="681"/>
    <w:next w:val="68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1"/>
    <w:next w:val="681"/>
    <w:uiPriority w:val="99"/>
    <w:unhideWhenUsed/>
    <w:pPr>
      <w:pBdr/>
      <w:spacing w:after="0" w:afterAutospacing="0"/>
      <w:ind/>
    </w:pPr>
  </w:style>
  <w:style w:type="paragraph" w:styleId="681" w:default="1">
    <w:name w:val="Normal"/>
    <w:next w:val="681"/>
    <w:link w:val="681"/>
    <w:qFormat/>
    <w:pPr>
      <w:widowControl w:val="false"/>
      <w:pBdr/>
      <w:spacing w:line="360" w:lineRule="auto" w:after="120"/>
      <w:ind/>
      <w:jc w:val="both"/>
    </w:pPr>
    <w:rPr>
      <w:rFonts w:ascii="宋体" w:hAnsi="宋体" w:eastAsia="宋体"/>
      <w:sz w:val="24"/>
      <w:szCs w:val="24"/>
      <w:lang w:val="en-US" w:eastAsia="zh-CN" w:bidi="ar-SA"/>
    </w:rPr>
  </w:style>
  <w:style w:type="paragraph" w:styleId="682">
    <w:name w:val="标题 1"/>
    <w:basedOn w:val="681"/>
    <w:next w:val="681"/>
    <w:link w:val="691"/>
    <w:qFormat/>
    <w:pPr>
      <w:keepNext w:val="true"/>
      <w:keepLines w:val="true"/>
      <w:pBdr/>
      <w:spacing w:after="330" w:before="340" w:line="578" w:lineRule="auto"/>
      <w:ind w:firstLine="200"/>
      <w:jc w:val="center"/>
      <w:outlineLvl w:val="0"/>
    </w:pPr>
    <w:rPr>
      <w:b/>
      <w:bCs/>
      <w:sz w:val="44"/>
      <w:szCs w:val="44"/>
    </w:rPr>
  </w:style>
  <w:style w:type="paragraph" w:styleId="683">
    <w:name w:val="标题 2"/>
    <w:basedOn w:val="681"/>
    <w:next w:val="681"/>
    <w:link w:val="690"/>
    <w:qFormat/>
    <w:pPr>
      <w:keepNext w:val="true"/>
      <w:keepLines w:val="true"/>
      <w:pBdr/>
      <w:spacing w:after="260" w:before="260" w:line="416" w:lineRule="auto"/>
      <w:ind w:firstLine="200"/>
      <w:outlineLvl w:val="1"/>
    </w:pPr>
    <w:rPr>
      <w:rFonts w:ascii="Arial" w:hAnsi="Arial" w:eastAsia="黑体"/>
      <w:b/>
      <w:bCs/>
      <w:sz w:val="32"/>
      <w:szCs w:val="32"/>
    </w:rPr>
  </w:style>
  <w:style w:type="paragraph" w:styleId="684">
    <w:name w:val="标题 3"/>
    <w:basedOn w:val="681"/>
    <w:next w:val="681"/>
    <w:link w:val="701"/>
    <w:qFormat/>
    <w:pPr>
      <w:keepNext w:val="true"/>
      <w:keepLines w:val="true"/>
      <w:pBdr/>
      <w:spacing w:after="260" w:before="260" w:line="416" w:lineRule="auto"/>
      <w:ind w:firstLine="200"/>
      <w:outlineLvl w:val="2"/>
    </w:pPr>
    <w:rPr>
      <w:b/>
      <w:bCs/>
      <w:sz w:val="32"/>
      <w:szCs w:val="32"/>
    </w:rPr>
  </w:style>
  <w:style w:type="character" w:styleId="685">
    <w:name w:val="默认段落字体"/>
    <w:next w:val="685"/>
    <w:link w:val="681"/>
    <w:semiHidden/>
    <w:pPr>
      <w:pBdr/>
      <w:spacing/>
      <w:ind/>
    </w:pPr>
  </w:style>
  <w:style w:type="table" w:styleId="686">
    <w:name w:val="普通表格"/>
    <w:next w:val="686"/>
    <w:link w:val="681"/>
    <w:semiHidden/>
    <w:pPr>
      <w:pBdr/>
      <w:spacing/>
      <w:ind/>
    </w:pPr>
    <w:tblPr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7">
    <w:name w:val="无列表"/>
    <w:next w:val="687"/>
    <w:link w:val="681"/>
    <w:uiPriority w:val="99"/>
    <w:semiHidden/>
    <w:unhideWhenUsed/>
    <w:pPr>
      <w:pBdr/>
      <w:spacing/>
      <w:ind/>
    </w:pPr>
  </w:style>
  <w:style w:type="character" w:styleId="688">
    <w:name w:val="页眉 字符"/>
    <w:next w:val="688"/>
    <w:link w:val="705"/>
    <w:pPr>
      <w:pBdr/>
      <w:spacing/>
      <w:ind/>
    </w:pPr>
    <w:rPr>
      <w:sz w:val="18"/>
      <w:szCs w:val="18"/>
    </w:rPr>
  </w:style>
  <w:style w:type="character" w:styleId="689">
    <w:name w:val="正文文本缩进 字符"/>
    <w:next w:val="689"/>
    <w:link w:val="709"/>
    <w:pPr>
      <w:pBdr/>
      <w:spacing/>
      <w:ind/>
    </w:pPr>
    <w:rPr>
      <w:rFonts w:ascii="宋体"/>
      <w:sz w:val="21"/>
      <w:szCs w:val="24"/>
      <w:lang w:val="zh-CN"/>
    </w:rPr>
  </w:style>
  <w:style w:type="character" w:styleId="690">
    <w:name w:val="标题 2 字符"/>
    <w:next w:val="690"/>
    <w:link w:val="683"/>
    <w:pPr>
      <w:pBdr/>
      <w:spacing/>
      <w:ind/>
    </w:pPr>
    <w:rPr>
      <w:rFonts w:ascii="Arial" w:hAnsi="Arial" w:eastAsia="黑体"/>
      <w:b/>
      <w:bCs/>
      <w:sz w:val="32"/>
      <w:szCs w:val="32"/>
    </w:rPr>
  </w:style>
  <w:style w:type="character" w:styleId="691">
    <w:name w:val="标题 1 字符"/>
    <w:next w:val="691"/>
    <w:link w:val="682"/>
    <w:pPr>
      <w:pBdr/>
      <w:spacing/>
      <w:ind/>
    </w:pPr>
    <w:rPr>
      <w:b/>
      <w:bCs/>
      <w:sz w:val="44"/>
      <w:szCs w:val="44"/>
    </w:rPr>
  </w:style>
  <w:style w:type="character" w:styleId="692">
    <w:name w:val="z-窗体底端 字符"/>
    <w:next w:val="692"/>
    <w:link w:val="706"/>
    <w:uiPriority w:val="99"/>
    <w:pPr>
      <w:pBdr/>
      <w:spacing/>
      <w:ind/>
    </w:pPr>
    <w:rPr>
      <w:rFonts w:ascii="Arial" w:hAnsi="Arial" w:cs="Arial"/>
      <w:vanish/>
      <w:sz w:val="16"/>
      <w:szCs w:val="16"/>
    </w:rPr>
  </w:style>
  <w:style w:type="character" w:styleId="693">
    <w:name w:val="超链接"/>
    <w:next w:val="693"/>
    <w:link w:val="681"/>
    <w:uiPriority w:val="99"/>
    <w:unhideWhenUsed/>
    <w:pPr>
      <w:pBdr/>
      <w:spacing/>
      <w:ind/>
    </w:pPr>
    <w:rPr>
      <w:color w:val="0000ff"/>
      <w:u w:val="single"/>
    </w:rPr>
  </w:style>
  <w:style w:type="character" w:styleId="694">
    <w:name w:val="要点"/>
    <w:next w:val="694"/>
    <w:link w:val="681"/>
    <w:uiPriority w:val="22"/>
    <w:qFormat/>
    <w:pPr>
      <w:pBdr/>
      <w:spacing/>
      <w:ind/>
    </w:pPr>
    <w:rPr>
      <w:b/>
      <w:bCs/>
    </w:rPr>
  </w:style>
  <w:style w:type="character" w:styleId="695">
    <w:name w:val="标题 字符"/>
    <w:next w:val="695"/>
    <w:link w:val="711"/>
    <w:pPr>
      <w:pBdr/>
      <w:spacing/>
      <w:ind/>
    </w:pPr>
    <w:rPr>
      <w:rFonts w:ascii="Cambria" w:hAnsi="Cambria" w:cs="Times New Roman"/>
      <w:b/>
      <w:bCs/>
      <w:sz w:val="32"/>
      <w:szCs w:val="32"/>
    </w:rPr>
  </w:style>
  <w:style w:type="character" w:styleId="696">
    <w:name w:val="页脚 字符"/>
    <w:next w:val="696"/>
    <w:link w:val="707"/>
    <w:pPr>
      <w:pBdr/>
      <w:spacing/>
      <w:ind/>
    </w:pPr>
    <w:rPr>
      <w:sz w:val="18"/>
      <w:szCs w:val="18"/>
    </w:rPr>
  </w:style>
  <w:style w:type="character" w:styleId="697">
    <w:name w:val="纯文本 字符"/>
    <w:next w:val="697"/>
    <w:link w:val="708"/>
    <w:pPr>
      <w:pBdr/>
      <w:spacing/>
      <w:ind/>
    </w:pPr>
    <w:rPr>
      <w:rFonts w:ascii="宋体" w:hAnsi="Courier New" w:cs="Courier New"/>
      <w:sz w:val="21"/>
      <w:szCs w:val="21"/>
    </w:rPr>
  </w:style>
  <w:style w:type="character" w:styleId="698">
    <w:name w:val="z-窗体顶端 字符"/>
    <w:next w:val="698"/>
    <w:link w:val="703"/>
    <w:uiPriority w:val="99"/>
    <w:pPr>
      <w:pBdr/>
      <w:spacing/>
      <w:ind/>
    </w:pPr>
    <w:rPr>
      <w:rFonts w:ascii="Arial" w:hAnsi="Arial" w:cs="Arial"/>
      <w:vanish/>
      <w:sz w:val="16"/>
      <w:szCs w:val="16"/>
    </w:rPr>
  </w:style>
  <w:style w:type="character" w:styleId="699">
    <w:name w:val="正文文本缩进 3 字符"/>
    <w:next w:val="699"/>
    <w:link w:val="702"/>
    <w:pPr>
      <w:pBdr/>
      <w:spacing/>
      <w:ind/>
    </w:pPr>
    <w:rPr>
      <w:sz w:val="16"/>
      <w:szCs w:val="16"/>
    </w:rPr>
  </w:style>
  <w:style w:type="character" w:styleId="700">
    <w:name w:val="HTML 预设格式 字符"/>
    <w:next w:val="700"/>
    <w:link w:val="704"/>
    <w:uiPriority w:val="99"/>
    <w:pPr>
      <w:pBdr/>
      <w:spacing/>
      <w:ind/>
    </w:pPr>
    <w:rPr>
      <w:rFonts w:ascii="宋体" w:hAnsi="宋体" w:cs="宋体"/>
      <w:sz w:val="24"/>
      <w:szCs w:val="24"/>
    </w:rPr>
  </w:style>
  <w:style w:type="character" w:styleId="701">
    <w:name w:val="标题 3 字符"/>
    <w:next w:val="701"/>
    <w:link w:val="684"/>
    <w:pPr>
      <w:pBdr/>
      <w:spacing/>
      <w:ind/>
    </w:pPr>
    <w:rPr>
      <w:b/>
      <w:bCs/>
      <w:sz w:val="32"/>
      <w:szCs w:val="32"/>
    </w:rPr>
  </w:style>
  <w:style w:type="paragraph" w:styleId="702">
    <w:name w:val="正文文本缩进 3"/>
    <w:basedOn w:val="681"/>
    <w:next w:val="702"/>
    <w:link w:val="699"/>
    <w:pPr>
      <w:pBdr/>
      <w:spacing w:after="120"/>
      <w:ind w:left="420"/>
    </w:pPr>
    <w:rPr>
      <w:sz w:val="16"/>
      <w:szCs w:val="16"/>
    </w:rPr>
  </w:style>
  <w:style w:type="paragraph" w:styleId="703">
    <w:name w:val="z-窗体顶端"/>
    <w:basedOn w:val="681"/>
    <w:next w:val="681"/>
    <w:link w:val="698"/>
    <w:uiPriority w:val="99"/>
    <w:unhideWhenUsed/>
    <w:pPr>
      <w:widowControl w:val="true"/>
      <w:pBdr>
        <w:bottom w:val="single" w:color="000000" w:sz="6" w:space="1"/>
      </w:pBdr>
      <w:spacing/>
      <w:ind/>
      <w:jc w:val="center"/>
    </w:pPr>
    <w:rPr>
      <w:rFonts w:ascii="Arial" w:hAnsi="Arial" w:cs="Arial"/>
      <w:vanish/>
      <w:sz w:val="16"/>
      <w:szCs w:val="16"/>
    </w:rPr>
  </w:style>
  <w:style w:type="paragraph" w:styleId="704">
    <w:name w:val="HTML 预设格式"/>
    <w:basedOn w:val="681"/>
    <w:next w:val="704"/>
    <w:link w:val="700"/>
    <w:uiPriority w:val="99"/>
    <w:unhideWhenUsed/>
    <w:pPr>
      <w:widowControl w:val="true"/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/>
      <w:ind/>
      <w:jc w:val="left"/>
    </w:pPr>
    <w:rPr>
      <w:rFonts w:ascii="宋体" w:hAnsi="宋体" w:cs="宋体"/>
      <w:sz w:val="24"/>
    </w:rPr>
  </w:style>
  <w:style w:type="paragraph" w:styleId="705">
    <w:name w:val="页眉"/>
    <w:basedOn w:val="681"/>
    <w:next w:val="705"/>
    <w:link w:val="688"/>
    <w:pPr>
      <w:pBdr>
        <w:bottom w:val="single" w:color="000000" w:sz="6" w:space="1"/>
      </w:pBdr>
      <w:tabs>
        <w:tab w:val="center" w:leader="none" w:pos="4153"/>
        <w:tab w:val="right" w:leader="none" w:pos="8306"/>
      </w:tabs>
      <w:spacing/>
      <w:ind/>
      <w:jc w:val="center"/>
    </w:pPr>
    <w:rPr>
      <w:sz w:val="18"/>
      <w:szCs w:val="18"/>
    </w:rPr>
  </w:style>
  <w:style w:type="paragraph" w:styleId="706">
    <w:name w:val="z-窗体底端"/>
    <w:basedOn w:val="681"/>
    <w:next w:val="681"/>
    <w:link w:val="692"/>
    <w:uiPriority w:val="99"/>
    <w:unhideWhenUsed/>
    <w:pPr>
      <w:widowControl w:val="true"/>
      <w:pBdr>
        <w:top w:val="single" w:color="000000" w:sz="6" w:space="1"/>
      </w:pBdr>
      <w:spacing/>
      <w:ind/>
      <w:jc w:val="center"/>
    </w:pPr>
    <w:rPr>
      <w:rFonts w:ascii="Arial" w:hAnsi="Arial" w:cs="Arial"/>
      <w:vanish/>
      <w:sz w:val="16"/>
      <w:szCs w:val="16"/>
    </w:rPr>
  </w:style>
  <w:style w:type="paragraph" w:styleId="707">
    <w:name w:val="页脚"/>
    <w:basedOn w:val="681"/>
    <w:next w:val="707"/>
    <w:link w:val="696"/>
    <w:pPr>
      <w:pBdr/>
      <w:tabs>
        <w:tab w:val="center" w:leader="none" w:pos="4153"/>
        <w:tab w:val="right" w:leader="none" w:pos="8306"/>
      </w:tabs>
      <w:spacing/>
      <w:ind/>
      <w:jc w:val="left"/>
    </w:pPr>
    <w:rPr>
      <w:sz w:val="18"/>
      <w:szCs w:val="18"/>
    </w:rPr>
  </w:style>
  <w:style w:type="paragraph" w:styleId="708">
    <w:name w:val="纯文本"/>
    <w:basedOn w:val="681"/>
    <w:next w:val="708"/>
    <w:link w:val="697"/>
    <w:pPr>
      <w:pBdr/>
      <w:spacing/>
      <w:ind/>
    </w:pPr>
    <w:rPr>
      <w:rFonts w:ascii="宋体" w:hAnsi="Courier New" w:cs="Courier New"/>
      <w:szCs w:val="21"/>
    </w:rPr>
  </w:style>
  <w:style w:type="paragraph" w:styleId="709">
    <w:name w:val="正文文本缩进"/>
    <w:basedOn w:val="681"/>
    <w:next w:val="709"/>
    <w:link w:val="689"/>
    <w:pPr>
      <w:pBdr/>
      <w:spacing/>
      <w:ind w:firstLine="560"/>
    </w:pPr>
    <w:rPr>
      <w:rFonts w:ascii="宋体"/>
      <w:lang w:val="zh-CN"/>
    </w:rPr>
  </w:style>
  <w:style w:type="paragraph" w:styleId="710">
    <w:name w:val="列表段落"/>
    <w:basedOn w:val="681"/>
    <w:next w:val="710"/>
    <w:link w:val="681"/>
    <w:uiPriority w:val="34"/>
    <w:qFormat/>
    <w:pPr>
      <w:pBdr/>
      <w:spacing/>
      <w:ind w:firstLine="420"/>
    </w:pPr>
  </w:style>
  <w:style w:type="paragraph" w:styleId="711">
    <w:name w:val="标题"/>
    <w:basedOn w:val="681"/>
    <w:next w:val="681"/>
    <w:link w:val="695"/>
    <w:qFormat/>
    <w:pPr>
      <w:pBdr/>
      <w:spacing w:after="60" w:before="240"/>
      <w:ind/>
      <w:jc w:val="center"/>
      <w:outlineLvl w:val="0"/>
    </w:pPr>
    <w:rPr>
      <w:rFonts w:ascii="Cambria" w:hAnsi="Cambria" w:cs="Times New Roman"/>
      <w:b/>
      <w:bCs/>
      <w:sz w:val="32"/>
      <w:szCs w:val="32"/>
    </w:rPr>
  </w:style>
  <w:style w:type="table" w:styleId="712">
    <w:name w:val="网格型"/>
    <w:basedOn w:val="686"/>
    <w:next w:val="712"/>
    <w:link w:val="681"/>
    <w:uiPriority w:val="59"/>
    <w:pPr>
      <w:widowControl w:val="false"/>
      <w:pBdr/>
      <w:spacing/>
      <w:ind/>
      <w:jc w:val="both"/>
    </w:pPr>
    <w:tblPr>
      <w:tblW w:w="0" w:type="auto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中等深浅网格 1 - 着色 3"/>
    <w:basedOn w:val="686"/>
    <w:next w:val="713"/>
    <w:link w:val="681"/>
    <w:uiPriority w:val="67"/>
    <w:pPr>
      <w:pBdr/>
      <w:spacing/>
      <w:ind/>
    </w:pPr>
    <w:rPr>
      <w:rFonts w:ascii="Calibri" w:hAnsi="Calibri" w:eastAsia="宋体" w:cs="Times New Roman"/>
      <w:sz w:val="21"/>
      <w:szCs w:val="22"/>
    </w:rPr>
    <w:tblPr>
      <w:tblStyleRowBandSize w:val="1"/>
      <w:tblStyleColBandSize w:val="1"/>
      <w:tblW w:w="0" w:type="auto"/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customStyle="1" w:styleId="Heading1">
    <w:name w:val="heading 1"/>
    <w:pPr>
      <w:keepNext/>
    </w:pPr>
    <w:rPr>
      <w:rFonts w:ascii="宋体" w:hAnsi="宋体" w:eastAsia="宋体"/>
      <w:b/>
      <w:color w:val="000000"/>
      <w:sz w:val="28"/>
    </w:rPr>
  </w:style>
  <w:style w:type="paragraph" w:customStyle="1" w:styleId="Heading2">
    <w:name w:val="heading 2"/>
    <w:pPr>
      <w:keepNext/>
    </w:pPr>
    <w:rPr>
      <w:rFonts w:ascii="宋体" w:hAnsi="宋体" w:eastAsia="宋体"/>
      <w:b/>
      <w:color w:val="000000"/>
      <w:sz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Relationship Id="rId9" Type="http://schemas.openxmlformats.org/officeDocument/2006/relationships/footer" Target="foot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Company>UCZ</Company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许前松</dc:creator>
  <cp:revision>8</cp:revision>
  <dcterms:created xsi:type="dcterms:W3CDTF">2018-05-27T07:19:00Z</dcterms:created>
  <dcterms:modified xsi:type="dcterms:W3CDTF">2026-10-20T11:02:13Z</dcterms:modified>
  <cp:version>1048576</cp:version>
  <dc:title>电商日志分析课程报告</dc:title>
  <dc:subject>分布式系统原理与实践课程设计</dc:subject>
</cp:coreProperties>
</file>