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E5F9E"/>
          <w:sz w:val="26"/>
          <w:szCs w:val="26"/>
        </w:rPr>
        <w:t xml:space="preserve">GUIDE PÉDAGOGIQUE DÉTAILLÉ</w:t>
      </w:r>
    </w:p>
    <w:p>
      <w:pPr>
        <w:spacing w:after="200" w:before="200"/>
        <w:jc w:val="center"/>
      </w:pPr>
      <w:r>
        <w:rPr>
          <w:b/>
          <w:bCs/>
          <w:color w:val="1F3864"/>
          <w:sz w:val="44"/>
          <w:szCs w:val="44"/>
        </w:rPr>
        <w:t xml:space="preserve">NIVEAU 3 — AVANCÉ</w:t>
      </w:r>
    </w:p>
    <w:p>
      <w:pPr>
        <w:spacing w:after="600"/>
        <w:jc w:val="center"/>
      </w:pPr>
      <w:r>
        <w:rPr>
          <w:i/>
          <w:iCs/>
          <w:color w:val="555555"/>
          <w:sz w:val="24"/>
          <w:szCs w:val="24"/>
        </w:rPr>
        <w:t xml:space="preserve">Toutes les fonctions et fonctionnalités expliquées simplement, avec exemples et résultats commentés</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Module 14 — TCD et graphiques avancés</w:t>
      </w:r>
    </w:p>
    <w:p>
      <w:pPr>
        <w:spacing w:after="120"/>
      </w:pPr>
      <w:r>
        <w:t xml:space="preserve">Ce module ne repose pas sur de nouvelles formules à taper dans une cellule, mais sur des fonctionnalités avancées du Tableau Croisé Dynamique (TCD) lui-même, accessible via Insertion &gt; Tableau croisé dynamique puis l'onglet Analyse de TCD.</w:t>
      </w:r>
    </w:p>
    <w:p>
      <w:pPr>
        <w:pStyle w:val="Heading3"/>
        <w:spacing w:after="100" w:before="220"/>
      </w:pPr>
      <w:r>
        <w:t xml:space="preserve">Champ calculé</w:t>
      </w:r>
    </w:p>
    <w:p>
      <w:pPr>
        <w:spacing w:after="120"/>
      </w:pPr>
      <w:r>
        <w:t xml:space="preserve">Un champ calculé ajoute une nouvelle colonne de calcul DIRECTEMENT dans le TCD, à partir d'autres champs déjà présents — sans toucher aux données sources. Il se comporte ensuite comme n'importe quel autre champ : il peut être sommé, moyenné, filtré, etc.</w:t>
      </w:r>
    </w:p>
    <w:p>
      <w:pPr>
        <w:shd w:fill="EDEDED" w:val="clear"/>
        <w:spacing w:after="80" w:before="80"/>
        <w:ind w:left="200"/>
      </w:pPr>
      <w:r>
        <w:rPr>
          <w:rFonts w:ascii="Consolas" w:cs="Consolas" w:eastAsia="Consolas" w:hAnsi="Consolas"/>
          <w:b/>
          <w:bCs/>
          <w:color w:val="1F3864"/>
          <w:sz w:val="22"/>
          <w:szCs w:val="22"/>
        </w:rPr>
        <w:t xml:space="preserve">Analyse de TCD &gt; Champs, éléments et ensembles &gt; Champ calculé  →  Marge = CA - Coût</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3000"/>
      </w:tblGrid>
      <w:tr>
        <w:trPr>
          <w:tblHeader/>
        </w:trPr>
        <w:tc>
          <w:tcPr>
            <w:tcW w:type="dxa" w:w="2600"/>
            <w:shd w:fill="2E5F9E" w:val="clear"/>
            <w:tcMar>
              <w:top w:type="dxa" w:w="90"/>
              <w:left w:type="dxa" w:w="110"/>
              <w:bottom w:type="dxa" w:w="90"/>
              <w:right w:type="dxa" w:w="110"/>
            </w:tcMar>
          </w:tcPr>
          <w:p>
            <w:r>
              <w:rPr>
                <w:b/>
                <w:bCs/>
                <w:color w:val="FFFFFF"/>
              </w:rPr>
              <w:t xml:space="preserve">Vendeur</w:t>
            </w:r>
          </w:p>
        </w:tc>
        <w:tc>
          <w:tcPr>
            <w:tcW w:type="dxa" w:w="2400"/>
            <w:shd w:fill="2E5F9E" w:val="clear"/>
            <w:tcMar>
              <w:top w:type="dxa" w:w="90"/>
              <w:left w:type="dxa" w:w="110"/>
              <w:bottom w:type="dxa" w:w="90"/>
              <w:right w:type="dxa" w:w="110"/>
            </w:tcMar>
          </w:tcPr>
          <w:p>
            <w:r>
              <w:rPr>
                <w:b/>
                <w:bCs/>
                <w:color w:val="FFFFFF"/>
              </w:rPr>
              <w:t xml:space="preserve">CA (€)</w:t>
            </w:r>
          </w:p>
        </w:tc>
        <w:tc>
          <w:tcPr>
            <w:tcW w:type="dxa" w:w="2400"/>
            <w:shd w:fill="2E5F9E" w:val="clear"/>
            <w:tcMar>
              <w:top w:type="dxa" w:w="90"/>
              <w:left w:type="dxa" w:w="110"/>
              <w:bottom w:type="dxa" w:w="90"/>
              <w:right w:type="dxa" w:w="110"/>
            </w:tcMar>
          </w:tcPr>
          <w:p>
            <w:r>
              <w:rPr>
                <w:b/>
                <w:bCs/>
                <w:color w:val="FFFFFF"/>
              </w:rPr>
              <w:t xml:space="preserve">Coût (€)</w:t>
            </w:r>
          </w:p>
        </w:tc>
        <w:tc>
          <w:tcPr>
            <w:tcW w:type="dxa" w:w="3000"/>
            <w:shd w:fill="2E5F9E" w:val="clear"/>
            <w:tcMar>
              <w:top w:type="dxa" w:w="90"/>
              <w:left w:type="dxa" w:w="110"/>
              <w:bottom w:type="dxa" w:w="90"/>
              <w:right w:type="dxa" w:w="110"/>
            </w:tcMar>
          </w:tcPr>
          <w:p>
            <w:r>
              <w:rPr>
                <w:b/>
                <w:bCs/>
                <w:color w:val="FFFFFF"/>
              </w:rPr>
              <w:t xml:space="preserve">Marge (champ calculé)</w:t>
            </w:r>
          </w:p>
        </w:tc>
      </w:tr>
      <w:tr>
        <w:tc>
          <w:tcPr>
            <w:tcW w:type="dxa" w:w="2600"/>
            <w:shd w:fill="FFFFFF" w:val="clear"/>
            <w:tcMar>
              <w:top w:type="dxa" w:w="90"/>
              <w:left w:type="dxa" w:w="110"/>
              <w:bottom w:type="dxa" w:w="90"/>
              <w:right w:type="dxa" w:w="110"/>
            </w:tcMar>
          </w:tcPr>
          <w:p>
            <w:r>
              <w:rPr>
                <w:b w:val="false"/>
                <w:bCs w:val="false"/>
              </w:rPr>
              <w:t xml:space="preserve">Nadia B.</w:t>
            </w:r>
          </w:p>
        </w:tc>
        <w:tc>
          <w:tcPr>
            <w:tcW w:type="dxa" w:w="2400"/>
            <w:shd w:fill="FFFFFF" w:val="clear"/>
            <w:tcMar>
              <w:top w:type="dxa" w:w="90"/>
              <w:left w:type="dxa" w:w="110"/>
              <w:bottom w:type="dxa" w:w="90"/>
              <w:right w:type="dxa" w:w="110"/>
            </w:tcMar>
          </w:tcPr>
          <w:p>
            <w:r>
              <w:rPr>
                <w:b w:val="false"/>
                <w:bCs w:val="false"/>
              </w:rPr>
              <w:t xml:space="preserve">42 000</w:t>
            </w:r>
          </w:p>
        </w:tc>
        <w:tc>
          <w:tcPr>
            <w:tcW w:type="dxa" w:w="2400"/>
            <w:shd w:fill="FFFFFF" w:val="clear"/>
            <w:tcMar>
              <w:top w:type="dxa" w:w="90"/>
              <w:left w:type="dxa" w:w="110"/>
              <w:bottom w:type="dxa" w:w="90"/>
              <w:right w:type="dxa" w:w="110"/>
            </w:tcMar>
          </w:tcPr>
          <w:p>
            <w:r>
              <w:rPr>
                <w:b w:val="false"/>
                <w:bCs w:val="false"/>
              </w:rPr>
              <w:t xml:space="preserve">26 000</w:t>
            </w:r>
          </w:p>
        </w:tc>
        <w:tc>
          <w:tcPr>
            <w:tcW w:type="dxa" w:w="3000"/>
            <w:shd w:fill="FFFFFF" w:val="clear"/>
            <w:tcMar>
              <w:top w:type="dxa" w:w="90"/>
              <w:left w:type="dxa" w:w="110"/>
              <w:bottom w:type="dxa" w:w="90"/>
              <w:right w:type="dxa" w:w="110"/>
            </w:tcMar>
          </w:tcPr>
          <w:p>
            <w:r>
              <w:rPr>
                <w:b w:val="false"/>
                <w:bCs w:val="false"/>
              </w:rPr>
              <w:t xml:space="preserve">= CA - Coût</w:t>
            </w:r>
          </w:p>
        </w:tc>
      </w:tr>
    </w:tbl>
    <w:p>
      <w:pPr>
        <w:spacing w:after="120"/>
      </w:pPr>
      <w:r>
        <w:rPr>
          <w:i/>
          <w:iCs/>
          <w:color w:val="2E7D32"/>
        </w:rPr>
        <w:t xml:space="preserve">Résultat obtenu : 16 000 € (42 000 − 26 000), calculé automatiquement pour chaque ligne et chaque sous-total du TCD</w:t>
      </w:r>
    </w:p>
    <w:p>
      <w:pPr>
        <w:spacing w:after="120"/>
      </w:pPr>
      <w:r>
        <w:rPr>
          <w:i/>
          <w:iCs/>
          <w:color w:val="666666"/>
        </w:rPr>
        <w:t xml:space="preserve">À retenir : Le champ calculé est une formule appliquée à l'échelle du TCD entier ; il se recalcule tout seul si les données sources changent.</w:t>
      </w:r>
    </w:p>
    <w:p>
      <w:pPr>
        <w:pStyle w:val="Heading3"/>
        <w:spacing w:after="100" w:before="220"/>
      </w:pPr>
      <w:r>
        <w:t xml:space="preserve">Élément calculé</w:t>
      </w:r>
    </w:p>
    <w:p>
      <w:pPr>
        <w:spacing w:after="120"/>
      </w:pPr>
      <w:r>
        <w:t xml:space="preserve">Alors que le champ calculé crée une nouvelle COLONNE, l'élément calculé crée une nouvelle VALEUR à l'intérieur d'un champ existant, en combinant d'autres valeurs de ce même champ. Exemple typique : regrouper deux régions en une zone commerciale, sans modifier les données sources.</w:t>
      </w:r>
    </w:p>
    <w:p>
      <w:pPr>
        <w:shd w:fill="EDEDED" w:val="clear"/>
        <w:spacing w:after="80" w:before="80"/>
        <w:ind w:left="200"/>
      </w:pPr>
      <w:r>
        <w:rPr>
          <w:rFonts w:ascii="Consolas" w:cs="Consolas" w:eastAsia="Consolas" w:hAnsi="Consolas"/>
          <w:b/>
          <w:bCs/>
          <w:color w:val="1F3864"/>
          <w:sz w:val="22"/>
          <w:szCs w:val="22"/>
        </w:rPr>
        <w:t xml:space="preserve">Analyse de TCD &gt; Champs, éléments et ensembles &gt; Élément calculé  →  "Zone Sud" = Sud + Est</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Région</w:t>
            </w:r>
          </w:p>
        </w:tc>
        <w:tc>
          <w:tcPr>
            <w:tcW w:type="dxa" w:w="4800"/>
            <w:shd w:fill="2E5F9E" w:val="clear"/>
            <w:tcMar>
              <w:top w:type="dxa" w:w="90"/>
              <w:left w:type="dxa" w:w="110"/>
              <w:bottom w:type="dxa" w:w="90"/>
              <w:right w:type="dxa" w:w="110"/>
            </w:tcMar>
          </w:tcPr>
          <w:p>
            <w:r>
              <w:rPr>
                <w:b/>
                <w:bCs/>
                <w:color w:val="FFFFFF"/>
              </w:rPr>
              <w:t xml:space="preserve">CA (€)</w:t>
            </w:r>
          </w:p>
        </w:tc>
      </w:tr>
      <w:tr>
        <w:tc>
          <w:tcPr>
            <w:tcW w:type="dxa" w:w="4800"/>
            <w:shd w:fill="FFFFFF" w:val="clear"/>
            <w:tcMar>
              <w:top w:type="dxa" w:w="90"/>
              <w:left w:type="dxa" w:w="110"/>
              <w:bottom w:type="dxa" w:w="90"/>
              <w:right w:type="dxa" w:w="110"/>
            </w:tcMar>
          </w:tcPr>
          <w:p>
            <w:r>
              <w:rPr>
                <w:b w:val="false"/>
                <w:bCs w:val="false"/>
              </w:rPr>
              <w:t xml:space="preserve">Sud</w:t>
            </w:r>
          </w:p>
        </w:tc>
        <w:tc>
          <w:tcPr>
            <w:tcW w:type="dxa" w:w="4800"/>
            <w:shd w:fill="FFFFFF" w:val="clear"/>
            <w:tcMar>
              <w:top w:type="dxa" w:w="90"/>
              <w:left w:type="dxa" w:w="110"/>
              <w:bottom w:type="dxa" w:w="90"/>
              <w:right w:type="dxa" w:w="110"/>
            </w:tcMar>
          </w:tcPr>
          <w:p>
            <w:r>
              <w:rPr>
                <w:b w:val="false"/>
                <w:bCs w:val="false"/>
              </w:rPr>
              <w:t xml:space="preserve">18 000</w:t>
            </w:r>
          </w:p>
        </w:tc>
      </w:tr>
      <w:tr>
        <w:tc>
          <w:tcPr>
            <w:tcW w:type="dxa" w:w="4800"/>
            <w:shd w:fill="F2F2F2" w:val="clear"/>
            <w:tcMar>
              <w:top w:type="dxa" w:w="90"/>
              <w:left w:type="dxa" w:w="110"/>
              <w:bottom w:type="dxa" w:w="90"/>
              <w:right w:type="dxa" w:w="110"/>
            </w:tcMar>
          </w:tcPr>
          <w:p>
            <w:r>
              <w:rPr>
                <w:b w:val="false"/>
                <w:bCs w:val="false"/>
              </w:rPr>
              <w:t xml:space="preserve">Est</w:t>
            </w:r>
          </w:p>
        </w:tc>
        <w:tc>
          <w:tcPr>
            <w:tcW w:type="dxa" w:w="4800"/>
            <w:shd w:fill="F2F2F2" w:val="clear"/>
            <w:tcMar>
              <w:top w:type="dxa" w:w="90"/>
              <w:left w:type="dxa" w:w="110"/>
              <w:bottom w:type="dxa" w:w="90"/>
              <w:right w:type="dxa" w:w="110"/>
            </w:tcMar>
          </w:tcPr>
          <w:p>
            <w:r>
              <w:rPr>
                <w:b w:val="false"/>
                <w:bCs w:val="false"/>
              </w:rPr>
              <w:t xml:space="preserve">12 000</w:t>
            </w:r>
          </w:p>
        </w:tc>
      </w:tr>
      <w:tr>
        <w:tc>
          <w:tcPr>
            <w:tcW w:type="dxa" w:w="4800"/>
            <w:shd w:fill="FFFFFF" w:val="clear"/>
            <w:tcMar>
              <w:top w:type="dxa" w:w="90"/>
              <w:left w:type="dxa" w:w="110"/>
              <w:bottom w:type="dxa" w:w="90"/>
              <w:right w:type="dxa" w:w="110"/>
            </w:tcMar>
          </w:tcPr>
          <w:p>
            <w:r>
              <w:rPr>
                <w:b w:val="false"/>
                <w:bCs w:val="false"/>
              </w:rPr>
              <w:t xml:space="preserve">Zone Sud (élément calculé)</w:t>
            </w:r>
          </w:p>
        </w:tc>
        <w:tc>
          <w:tcPr>
            <w:tcW w:type="dxa" w:w="4800"/>
            <w:shd w:fill="FFFFFF" w:val="clear"/>
            <w:tcMar>
              <w:top w:type="dxa" w:w="90"/>
              <w:left w:type="dxa" w:w="110"/>
              <w:bottom w:type="dxa" w:w="90"/>
              <w:right w:type="dxa" w:w="110"/>
            </w:tcMar>
          </w:tcPr>
          <w:p>
            <w:r>
              <w:rPr>
                <w:b w:val="false"/>
                <w:bCs w:val="false"/>
              </w:rPr>
              <w:t xml:space="preserve">= Sud + Est</w:t>
            </w:r>
          </w:p>
        </w:tc>
      </w:tr>
    </w:tbl>
    <w:p>
      <w:pPr>
        <w:spacing w:after="120"/>
      </w:pPr>
      <w:r>
        <w:rPr>
          <w:i/>
          <w:iCs/>
          <w:color w:val="2E7D32"/>
        </w:rPr>
        <w:t xml:space="preserve">Résultat obtenu : 30 000 € (18 000 + 12 000), affiché comme une ligne supplémentaire dans le TCD</w:t>
      </w:r>
    </w:p>
    <w:p>
      <w:pPr>
        <w:pStyle w:val="Heading3"/>
        <w:spacing w:after="100" w:before="220"/>
      </w:pPr>
      <w:r>
        <w:t xml:space="preserve">Regroupement par dates (mois, trimestre, année)</w:t>
      </w:r>
    </w:p>
    <w:p>
      <w:pPr>
        <w:spacing w:after="120"/>
      </w:pPr>
      <w:r>
        <w:t xml:space="preserve">Plutôt que d'afficher chaque date individuellement (ce qui donnerait un TCD illisible avec des centaines de lignes), on regroupe automatiquement les dates par période.</w:t>
      </w:r>
    </w:p>
    <w:p>
      <w:pPr>
        <w:shd w:fill="EDEDED" w:val="clear"/>
        <w:spacing w:after="80" w:before="80"/>
        <w:ind w:left="200"/>
      </w:pPr>
      <w:r>
        <w:rPr>
          <w:rFonts w:ascii="Consolas" w:cs="Consolas" w:eastAsia="Consolas" w:hAnsi="Consolas"/>
          <w:b/>
          <w:bCs/>
          <w:color w:val="1F3864"/>
          <w:sz w:val="22"/>
          <w:szCs w:val="22"/>
        </w:rPr>
        <w:t xml:space="preserve">Clic droit sur une date du TCD &gt; Grouper &gt; cocher Mois (ou Trimestre, Année)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Avant regroupement</w:t>
            </w:r>
          </w:p>
        </w:tc>
        <w:tc>
          <w:tcPr>
            <w:tcW w:type="dxa" w:w="4800"/>
            <w:shd w:fill="2E5F9E" w:val="clear"/>
            <w:tcMar>
              <w:top w:type="dxa" w:w="90"/>
              <w:left w:type="dxa" w:w="110"/>
              <w:bottom w:type="dxa" w:w="90"/>
              <w:right w:type="dxa" w:w="110"/>
            </w:tcMar>
          </w:tcPr>
          <w:p>
            <w:r>
              <w:rPr>
                <w:b/>
                <w:bCs/>
                <w:color w:val="FFFFFF"/>
              </w:rPr>
              <w:t xml:space="preserve">Après regroupement par mois</w:t>
            </w:r>
          </w:p>
        </w:tc>
      </w:tr>
      <w:tr>
        <w:tc>
          <w:tcPr>
            <w:tcW w:type="dxa" w:w="4800"/>
            <w:shd w:fill="FFFFFF" w:val="clear"/>
            <w:tcMar>
              <w:top w:type="dxa" w:w="90"/>
              <w:left w:type="dxa" w:w="110"/>
              <w:bottom w:type="dxa" w:w="90"/>
              <w:right w:type="dxa" w:w="110"/>
            </w:tcMar>
          </w:tcPr>
          <w:p>
            <w:r>
              <w:rPr>
                <w:b w:val="false"/>
                <w:bCs w:val="false"/>
              </w:rPr>
              <w:t xml:space="preserve">01/01/2026, 02/01/2026, … (30 lignes)</w:t>
            </w:r>
          </w:p>
        </w:tc>
        <w:tc>
          <w:tcPr>
            <w:tcW w:type="dxa" w:w="4800"/>
            <w:shd w:fill="FFFFFF" w:val="clear"/>
            <w:tcMar>
              <w:top w:type="dxa" w:w="90"/>
              <w:left w:type="dxa" w:w="110"/>
              <w:bottom w:type="dxa" w:w="90"/>
              <w:right w:type="dxa" w:w="110"/>
            </w:tcMar>
          </w:tcPr>
          <w:p>
            <w:r>
              <w:rPr>
                <w:b w:val="false"/>
                <w:bCs w:val="false"/>
              </w:rPr>
              <w:t xml:space="preserve">Janvier, Février, Mars (3 lignes)</w:t>
            </w:r>
          </w:p>
        </w:tc>
      </w:tr>
    </w:tbl>
    <w:p>
      <w:pPr>
        <w:spacing w:after="120"/>
      </w:pPr>
      <w:r>
        <w:rPr>
          <w:i/>
          <w:iCs/>
          <w:color w:val="666666"/>
        </w:rPr>
        <w:t xml:space="preserve">À retenir : On peut cocher plusieurs niveaux à la fois (Mois ET Année) pour garder une hiérarchie dans le rapport.</w:t>
      </w:r>
    </w:p>
    <w:p>
      <w:pPr>
        <w:pStyle w:val="Heading3"/>
        <w:spacing w:after="100" w:before="220"/>
      </w:pPr>
      <w:r>
        <w:t xml:space="preserve">Regroupement par tranches (valeurs numériques)</w:t>
      </w:r>
    </w:p>
    <w:p>
      <w:pPr>
        <w:spacing w:after="120"/>
      </w:pPr>
      <w:r>
        <w:t xml:space="preserve">Le même principe s'applique aux nombres : au lieu d'afficher chaque montant individuellement, on les regroupe en catégories (tranches) définies par des bornes.</w:t>
      </w:r>
    </w:p>
    <w:p>
      <w:pPr>
        <w:shd w:fill="EDEDED" w:val="clear"/>
        <w:spacing w:after="80" w:before="80"/>
        <w:ind w:left="200"/>
      </w:pPr>
      <w:r>
        <w:rPr>
          <w:rFonts w:ascii="Consolas" w:cs="Consolas" w:eastAsia="Consolas" w:hAnsi="Consolas"/>
          <w:b/>
          <w:bCs/>
          <w:color w:val="1F3864"/>
          <w:sz w:val="22"/>
          <w:szCs w:val="22"/>
        </w:rPr>
        <w:t xml:space="preserve">Clic droit sur une valeur du TCD &gt; Grouper &gt; définir le début, la fin et le pas de chaque tranche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CA individuel (€)</w:t>
            </w:r>
          </w:p>
        </w:tc>
        <w:tc>
          <w:tcPr>
            <w:tcW w:type="dxa" w:w="4800"/>
            <w:shd w:fill="2E5F9E" w:val="clear"/>
            <w:tcMar>
              <w:top w:type="dxa" w:w="90"/>
              <w:left w:type="dxa" w:w="110"/>
              <w:bottom w:type="dxa" w:w="90"/>
              <w:right w:type="dxa" w:w="110"/>
            </w:tcMar>
          </w:tcPr>
          <w:p>
            <w:r>
              <w:rPr>
                <w:b/>
                <w:bCs/>
                <w:color w:val="FFFFFF"/>
              </w:rPr>
              <w:t xml:space="preserve">Tranche</w:t>
            </w:r>
          </w:p>
        </w:tc>
      </w:tr>
      <w:tr>
        <w:tc>
          <w:tcPr>
            <w:tcW w:type="dxa" w:w="4800"/>
            <w:shd w:fill="FFFFFF" w:val="clear"/>
            <w:tcMar>
              <w:top w:type="dxa" w:w="90"/>
              <w:left w:type="dxa" w:w="110"/>
              <w:bottom w:type="dxa" w:w="90"/>
              <w:right w:type="dxa" w:w="110"/>
            </w:tcMar>
          </w:tcPr>
          <w:p>
            <w:r>
              <w:rPr>
                <w:b w:val="false"/>
                <w:bCs w:val="false"/>
              </w:rPr>
              <w:t xml:space="preserve">450, 780, 920</w:t>
            </w:r>
          </w:p>
        </w:tc>
        <w:tc>
          <w:tcPr>
            <w:tcW w:type="dxa" w:w="4800"/>
            <w:shd w:fill="FFFFFF" w:val="clear"/>
            <w:tcMar>
              <w:top w:type="dxa" w:w="90"/>
              <w:left w:type="dxa" w:w="110"/>
              <w:bottom w:type="dxa" w:w="90"/>
              <w:right w:type="dxa" w:w="110"/>
            </w:tcMar>
          </w:tcPr>
          <w:p>
            <w:r>
              <w:rPr>
                <w:b w:val="false"/>
                <w:bCs w:val="false"/>
              </w:rPr>
              <w:t xml:space="preserve">&lt; 1 000</w:t>
            </w:r>
          </w:p>
        </w:tc>
      </w:tr>
      <w:tr>
        <w:tc>
          <w:tcPr>
            <w:tcW w:type="dxa" w:w="4800"/>
            <w:shd w:fill="F2F2F2" w:val="clear"/>
            <w:tcMar>
              <w:top w:type="dxa" w:w="90"/>
              <w:left w:type="dxa" w:w="110"/>
              <w:bottom w:type="dxa" w:w="90"/>
              <w:right w:type="dxa" w:w="110"/>
            </w:tcMar>
          </w:tcPr>
          <w:p>
            <w:r>
              <w:rPr>
                <w:b w:val="false"/>
                <w:bCs w:val="false"/>
              </w:rPr>
              <w:t xml:space="preserve">1 500, 2 300, 2 800</w:t>
            </w:r>
          </w:p>
        </w:tc>
        <w:tc>
          <w:tcPr>
            <w:tcW w:type="dxa" w:w="4800"/>
            <w:shd w:fill="F2F2F2" w:val="clear"/>
            <w:tcMar>
              <w:top w:type="dxa" w:w="90"/>
              <w:left w:type="dxa" w:w="110"/>
              <w:bottom w:type="dxa" w:w="90"/>
              <w:right w:type="dxa" w:w="110"/>
            </w:tcMar>
          </w:tcPr>
          <w:p>
            <w:r>
              <w:rPr>
                <w:b w:val="false"/>
                <w:bCs w:val="false"/>
              </w:rPr>
              <w:t xml:space="preserve">1 000 - 3 000</w:t>
            </w:r>
          </w:p>
        </w:tc>
      </w:tr>
      <w:tr>
        <w:tc>
          <w:tcPr>
            <w:tcW w:type="dxa" w:w="4800"/>
            <w:shd w:fill="FFFFFF" w:val="clear"/>
            <w:tcMar>
              <w:top w:type="dxa" w:w="90"/>
              <w:left w:type="dxa" w:w="110"/>
              <w:bottom w:type="dxa" w:w="90"/>
              <w:right w:type="dxa" w:w="110"/>
            </w:tcMar>
          </w:tcPr>
          <w:p>
            <w:r>
              <w:rPr>
                <w:b w:val="false"/>
                <w:bCs w:val="false"/>
              </w:rPr>
              <w:t xml:space="preserve">3 500, 4 200</w:t>
            </w:r>
          </w:p>
        </w:tc>
        <w:tc>
          <w:tcPr>
            <w:tcW w:type="dxa" w:w="4800"/>
            <w:shd w:fill="FFFFFF" w:val="clear"/>
            <w:tcMar>
              <w:top w:type="dxa" w:w="90"/>
              <w:left w:type="dxa" w:w="110"/>
              <w:bottom w:type="dxa" w:w="90"/>
              <w:right w:type="dxa" w:w="110"/>
            </w:tcMar>
          </w:tcPr>
          <w:p>
            <w:r>
              <w:rPr>
                <w:b w:val="false"/>
                <w:bCs w:val="false"/>
              </w:rPr>
              <w:t xml:space="preserve">&gt; 3 000</w:t>
            </w:r>
          </w:p>
        </w:tc>
      </w:tr>
    </w:tbl>
    <w:p>
      <w:pPr>
        <w:spacing w:after="120"/>
      </w:pPr>
      <w:r>
        <w:rPr>
          <w:i/>
          <w:iCs/>
          <w:color w:val="2E7D32"/>
        </w:rPr>
        <w:t xml:space="preserve">Résultat obtenu : Le TCD affiche 3 lignes de synthèse (une par tranche) au lieu d'une ligne par valeur individuelle</w:t>
      </w:r>
    </w:p>
    <w:p>
      <w:pPr>
        <w:pStyle w:val="Heading3"/>
        <w:spacing w:after="100" w:before="220"/>
      </w:pPr>
      <w:r>
        <w:t xml:space="preserve">Mise en forme de rapport</w:t>
      </w:r>
    </w:p>
    <w:p>
      <w:pPr>
        <w:spacing w:after="120"/>
      </w:pPr>
      <w:r>
        <w:t xml:space="preserve">Un TCD par défaut est fonctionnel mais peu présentable. La mise en forme de rapport regroupe plusieurs réglages pour obtenir un rendu professionnel, prêt pour une présentation à la direction.</w:t>
      </w:r>
    </w:p>
    <w:p>
      <w:pPr>
        <w:shd w:fill="EDEDED" w:val="clear"/>
        <w:spacing w:after="80" w:before="80"/>
        <w:ind w:left="200"/>
      </w:pPr>
      <w:r>
        <w:rPr>
          <w:rFonts w:ascii="Consolas" w:cs="Consolas" w:eastAsia="Consolas" w:hAnsi="Consolas"/>
          <w:b/>
          <w:bCs/>
          <w:color w:val="1F3864"/>
          <w:sz w:val="22"/>
          <w:szCs w:val="22"/>
        </w:rPr>
        <w:t xml:space="preserve">Création de TCD &gt; Styles de TCD  +  Conception &gt; Disposition du rapport &gt; Afficher en mode Plan</w:t>
      </w:r>
    </w:p>
    <w:p>
      <w:pPr>
        <w:spacing w:after="120"/>
      </w:pPr>
      <w:r>
        <w:rPr>
          <w:i/>
          <w:iCs/>
          <w:color w:val="666666"/>
        </w:rPr>
        <w:t xml:space="preserve">À retenir : Trois réglages à connaître : les styles de TCD (couleurs prédéfinies), la disposition en plan ou tabulaire (organisation des champs), et l'affichage ou non des sous-totaux à chaque niveau.</w:t>
      </w:r>
    </w:p>
    <w:p>
      <w:pPr>
        <w:pStyle w:val="Heading3"/>
        <w:spacing w:after="100" w:before="220"/>
      </w:pPr>
      <w:r>
        <w:t xml:space="preserve">TCD multi-sources</w:t>
      </w:r>
    </w:p>
    <w:p>
      <w:pPr>
        <w:spacing w:after="120"/>
      </w:pPr>
      <w:r>
        <w:t xml:space="preserve">Un TCD classique ne lit qu'un seul tableau. Un TCD multi-sources combine plusieurs tableaux liés par un champ commun (par exemple une table Ventes et une table Clients reliées par le nom du Vendeur), pour croiser des informations qui ne sont pas dans le même tableau.</w:t>
      </w:r>
    </w:p>
    <w:p>
      <w:pPr>
        <w:shd w:fill="EDEDED" w:val="clear"/>
        <w:spacing w:after="80" w:before="80"/>
        <w:ind w:left="200"/>
      </w:pPr>
      <w:r>
        <w:rPr>
          <w:rFonts w:ascii="Consolas" w:cs="Consolas" w:eastAsia="Consolas" w:hAnsi="Consolas"/>
          <w:b/>
          <w:bCs/>
          <w:color w:val="1F3864"/>
          <w:sz w:val="22"/>
          <w:szCs w:val="22"/>
        </w:rPr>
        <w:t xml:space="preserve">Données &gt; Relations (ou Power Pivot &gt; Gérer le modèle de données) &gt; créer une relation entre les deux tables via le champ commun</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Table Ventes</w:t>
            </w:r>
          </w:p>
        </w:tc>
        <w:tc>
          <w:tcPr>
            <w:tcW w:type="dxa" w:w="4800"/>
            <w:shd w:fill="2E5F9E" w:val="clear"/>
            <w:tcMar>
              <w:top w:type="dxa" w:w="90"/>
              <w:left w:type="dxa" w:w="110"/>
              <w:bottom w:type="dxa" w:w="90"/>
              <w:right w:type="dxa" w:w="110"/>
            </w:tcMar>
          </w:tcPr>
          <w:p>
            <w:r>
              <w:rPr>
                <w:b/>
                <w:bCs/>
                <w:color w:val="FFFFFF"/>
              </w:rPr>
              <w:t xml:space="preserve">Table Clients (reliée par Vendeur)</w:t>
            </w:r>
          </w:p>
        </w:tc>
      </w:tr>
      <w:tr>
        <w:tc>
          <w:tcPr>
            <w:tcW w:type="dxa" w:w="4800"/>
            <w:shd w:fill="FFFFFF" w:val="clear"/>
            <w:tcMar>
              <w:top w:type="dxa" w:w="90"/>
              <w:left w:type="dxa" w:w="110"/>
              <w:bottom w:type="dxa" w:w="90"/>
              <w:right w:type="dxa" w:w="110"/>
            </w:tcMar>
          </w:tcPr>
          <w:p>
            <w:r>
              <w:rPr>
                <w:b w:val="false"/>
                <w:bCs w:val="false"/>
              </w:rPr>
              <w:t xml:space="preserve">Vendeur, Région, CA</w:t>
            </w:r>
          </w:p>
        </w:tc>
        <w:tc>
          <w:tcPr>
            <w:tcW w:type="dxa" w:w="4800"/>
            <w:shd w:fill="FFFFFF" w:val="clear"/>
            <w:tcMar>
              <w:top w:type="dxa" w:w="90"/>
              <w:left w:type="dxa" w:w="110"/>
              <w:bottom w:type="dxa" w:w="90"/>
              <w:right w:type="dxa" w:w="110"/>
            </w:tcMar>
          </w:tcPr>
          <w:p>
            <w:r>
              <w:rPr>
                <w:b w:val="false"/>
                <w:bCs w:val="false"/>
              </w:rPr>
              <w:t xml:space="preserve">Vendeur, Antenne, Manager</w:t>
            </w:r>
          </w:p>
        </w:tc>
      </w:tr>
    </w:tbl>
    <w:p>
      <w:pPr>
        <w:spacing w:after="120"/>
      </w:pPr>
      <w:r>
        <w:rPr>
          <w:i/>
          <w:iCs/>
          <w:color w:val="666666"/>
        </w:rPr>
        <w:t xml:space="preserve">À retenir : Alternative plus simple sans relation formelle : ajouter une colonne RECHERCHEV multi-feuilles dans la table Ventes pour ramener l'information de la table Clients avant de construire un TCD classique.</w:t>
      </w:r>
    </w:p>
    <w:p>
      <w:r>
        <w:br w:type="page"/>
      </w:r>
    </w:p>
    <w:p>
      <w:pPr>
        <w:pStyle w:val="Heading1"/>
        <w:spacing w:after="200" w:before="400"/>
      </w:pPr>
      <w:r>
        <w:t xml:space="preserve">Module 15 — Fonctions avancées et matricielles</w:t>
      </w:r>
    </w:p>
    <w:p>
      <w:pPr>
        <w:spacing w:after="120"/>
      </w:pPr>
      <w:r>
        <w:t xml:space="preserve">Ce module regroupe des formules qui gèrent PLUSIEURS critères à la fois (contrairement à NB.SI/SOMME.SI/MOYENNE.SI vus au Niveau 2, qui n'en géraient qu'un seul), ainsi que les nouvelles fonctions matricielles dynamiques.</w:t>
      </w:r>
    </w:p>
    <w:p>
      <w:pPr>
        <w:pStyle w:val="Heading3"/>
        <w:spacing w:after="100" w:before="220"/>
      </w:pPr>
      <w:r>
        <w:t xml:space="preserve">SOMME.SI.ENS</w:t>
      </w:r>
    </w:p>
    <w:p>
      <w:pPr>
        <w:spacing w:after="120"/>
      </w:pPr>
      <w:r>
        <w:t xml:space="preserve">Additionne les valeurs d'une plage qui respectent PLUSIEURS critères en même temps (contrairement à SOMME.SI qui n'en accepte qu'un seul). Remarquez que la plage à additionner se met en PREMIER ici, contrairement à SOMME.SI.</w:t>
      </w:r>
    </w:p>
    <w:p>
      <w:pPr>
        <w:shd w:fill="EDEDED" w:val="clear"/>
        <w:spacing w:after="80" w:before="80"/>
        <w:ind w:left="200"/>
      </w:pPr>
      <w:r>
        <w:rPr>
          <w:rFonts w:ascii="Consolas" w:cs="Consolas" w:eastAsia="Consolas" w:hAnsi="Consolas"/>
          <w:b/>
          <w:bCs/>
          <w:color w:val="1F3864"/>
          <w:sz w:val="22"/>
          <w:szCs w:val="22"/>
        </w:rPr>
        <w:t xml:space="preserve">=SOMME.SI.ENS(plage_somme ; plage_critère1 ; critère1 ; plage_critère2 ; critère2 ; …)</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2E5F9E" w:val="clear"/>
            <w:tcMar>
              <w:top w:type="dxa" w:w="90"/>
              <w:left w:type="dxa" w:w="110"/>
              <w:bottom w:type="dxa" w:w="90"/>
              <w:right w:type="dxa" w:w="110"/>
            </w:tcMar>
          </w:tcPr>
          <w:p>
            <w:r>
              <w:rPr>
                <w:b/>
                <w:bCs/>
                <w:color w:val="FFFFFF"/>
              </w:rPr>
              <w:t xml:space="preserve">Région</w:t>
            </w:r>
          </w:p>
        </w:tc>
        <w:tc>
          <w:tcPr>
            <w:tcW w:type="dxa" w:w="3200"/>
            <w:shd w:fill="2E5F9E" w:val="clear"/>
            <w:tcMar>
              <w:top w:type="dxa" w:w="90"/>
              <w:left w:type="dxa" w:w="110"/>
              <w:bottom w:type="dxa" w:w="90"/>
              <w:right w:type="dxa" w:w="110"/>
            </w:tcMar>
          </w:tcPr>
          <w:p>
            <w:r>
              <w:rPr>
                <w:b/>
                <w:bCs/>
                <w:color w:val="FFFFFF"/>
              </w:rPr>
              <w:t xml:space="preserve">Produit</w:t>
            </w:r>
          </w:p>
        </w:tc>
        <w:tc>
          <w:tcPr>
            <w:tcW w:type="dxa" w:w="3200"/>
            <w:shd w:fill="2E5F9E" w:val="clear"/>
            <w:tcMar>
              <w:top w:type="dxa" w:w="90"/>
              <w:left w:type="dxa" w:w="110"/>
              <w:bottom w:type="dxa" w:w="90"/>
              <w:right w:type="dxa" w:w="110"/>
            </w:tcMar>
          </w:tcPr>
          <w:p>
            <w:r>
              <w:rPr>
                <w:b/>
                <w:bCs/>
                <w:color w:val="FFFFFF"/>
              </w:rPr>
              <w:t xml:space="preserve">Montant (€)</w:t>
            </w:r>
          </w:p>
        </w:tc>
      </w:tr>
      <w:tr>
        <w:tc>
          <w:tcPr>
            <w:tcW w:type="dxa" w:w="3200"/>
            <w:shd w:fill="FFFFFF" w:val="clear"/>
            <w:tcMar>
              <w:top w:type="dxa" w:w="90"/>
              <w:left w:type="dxa" w:w="110"/>
              <w:bottom w:type="dxa" w:w="90"/>
              <w:right w:type="dxa" w:w="110"/>
            </w:tcMar>
          </w:tcPr>
          <w:p>
            <w:r>
              <w:rPr>
                <w:b w:val="false"/>
                <w:bCs w:val="false"/>
              </w:rPr>
              <w:t xml:space="preserve">Nord</w:t>
            </w:r>
          </w:p>
        </w:tc>
        <w:tc>
          <w:tcPr>
            <w:tcW w:type="dxa" w:w="3200"/>
            <w:shd w:fill="FFFFFF" w:val="clear"/>
            <w:tcMar>
              <w:top w:type="dxa" w:w="90"/>
              <w:left w:type="dxa" w:w="110"/>
              <w:bottom w:type="dxa" w:w="90"/>
              <w:right w:type="dxa" w:w="110"/>
            </w:tcMar>
          </w:tcPr>
          <w:p>
            <w:r>
              <w:rPr>
                <w:b w:val="false"/>
                <w:bCs w:val="false"/>
              </w:rPr>
              <w:t xml:space="preserve">Produit A</w:t>
            </w:r>
          </w:p>
        </w:tc>
        <w:tc>
          <w:tcPr>
            <w:tcW w:type="dxa" w:w="3200"/>
            <w:shd w:fill="FFFFFF" w:val="clear"/>
            <w:tcMar>
              <w:top w:type="dxa" w:w="90"/>
              <w:left w:type="dxa" w:w="110"/>
              <w:bottom w:type="dxa" w:w="90"/>
              <w:right w:type="dxa" w:w="110"/>
            </w:tcMar>
          </w:tcPr>
          <w:p>
            <w:r>
              <w:rPr>
                <w:b w:val="false"/>
                <w:bCs w:val="false"/>
              </w:rPr>
              <w:t xml:space="preserve">400</w:t>
            </w:r>
          </w:p>
        </w:tc>
      </w:tr>
      <w:tr>
        <w:tc>
          <w:tcPr>
            <w:tcW w:type="dxa" w:w="3200"/>
            <w:shd w:fill="F2F2F2" w:val="clear"/>
            <w:tcMar>
              <w:top w:type="dxa" w:w="90"/>
              <w:left w:type="dxa" w:w="110"/>
              <w:bottom w:type="dxa" w:w="90"/>
              <w:right w:type="dxa" w:w="110"/>
            </w:tcMar>
          </w:tcPr>
          <w:p>
            <w:r>
              <w:rPr>
                <w:b w:val="false"/>
                <w:bCs w:val="false"/>
              </w:rPr>
              <w:t xml:space="preserve">Sud</w:t>
            </w:r>
          </w:p>
        </w:tc>
        <w:tc>
          <w:tcPr>
            <w:tcW w:type="dxa" w:w="3200"/>
            <w:shd w:fill="F2F2F2" w:val="clear"/>
            <w:tcMar>
              <w:top w:type="dxa" w:w="90"/>
              <w:left w:type="dxa" w:w="110"/>
              <w:bottom w:type="dxa" w:w="90"/>
              <w:right w:type="dxa" w:w="110"/>
            </w:tcMar>
          </w:tcPr>
          <w:p>
            <w:r>
              <w:rPr>
                <w:b w:val="false"/>
                <w:bCs w:val="false"/>
              </w:rPr>
              <w:t xml:space="preserve">Produit A</w:t>
            </w:r>
          </w:p>
        </w:tc>
        <w:tc>
          <w:tcPr>
            <w:tcW w:type="dxa" w:w="3200"/>
            <w:shd w:fill="F2F2F2" w:val="clear"/>
            <w:tcMar>
              <w:top w:type="dxa" w:w="90"/>
              <w:left w:type="dxa" w:w="110"/>
              <w:bottom w:type="dxa" w:w="90"/>
              <w:right w:type="dxa" w:w="110"/>
            </w:tcMar>
          </w:tcPr>
          <w:p>
            <w:r>
              <w:rPr>
                <w:b w:val="false"/>
                <w:bCs w:val="false"/>
              </w:rPr>
              <w:t xml:space="preserve">600</w:t>
            </w:r>
          </w:p>
        </w:tc>
      </w:tr>
      <w:tr>
        <w:tc>
          <w:tcPr>
            <w:tcW w:type="dxa" w:w="3200"/>
            <w:shd w:fill="FFFFFF" w:val="clear"/>
            <w:tcMar>
              <w:top w:type="dxa" w:w="90"/>
              <w:left w:type="dxa" w:w="110"/>
              <w:bottom w:type="dxa" w:w="90"/>
              <w:right w:type="dxa" w:w="110"/>
            </w:tcMar>
          </w:tcPr>
          <w:p>
            <w:r>
              <w:rPr>
                <w:b w:val="false"/>
                <w:bCs w:val="false"/>
              </w:rPr>
              <w:t xml:space="preserve">Nord</w:t>
            </w:r>
          </w:p>
        </w:tc>
        <w:tc>
          <w:tcPr>
            <w:tcW w:type="dxa" w:w="3200"/>
            <w:shd w:fill="FFFFFF" w:val="clear"/>
            <w:tcMar>
              <w:top w:type="dxa" w:w="90"/>
              <w:left w:type="dxa" w:w="110"/>
              <w:bottom w:type="dxa" w:w="90"/>
              <w:right w:type="dxa" w:w="110"/>
            </w:tcMar>
          </w:tcPr>
          <w:p>
            <w:r>
              <w:rPr>
                <w:b w:val="false"/>
                <w:bCs w:val="false"/>
              </w:rPr>
              <w:t xml:space="preserve">Produit A</w:t>
            </w:r>
          </w:p>
        </w:tc>
        <w:tc>
          <w:tcPr>
            <w:tcW w:type="dxa" w:w="3200"/>
            <w:shd w:fill="FFFFFF" w:val="clear"/>
            <w:tcMar>
              <w:top w:type="dxa" w:w="90"/>
              <w:left w:type="dxa" w:w="110"/>
              <w:bottom w:type="dxa" w:w="90"/>
              <w:right w:type="dxa" w:w="110"/>
            </w:tcMar>
          </w:tcPr>
          <w:p>
            <w:r>
              <w:rPr>
                <w:b w:val="false"/>
                <w:bCs w:val="false"/>
              </w:rPr>
              <w:t xml:space="preserve">850</w:t>
            </w:r>
          </w:p>
        </w:tc>
      </w:tr>
    </w:tbl>
    <w:p>
      <w:pPr>
        <w:spacing w:after="120"/>
      </w:pPr>
      <w:r>
        <w:rPr>
          <w:i/>
          <w:iCs/>
          <w:color w:val="2E7D32"/>
        </w:rPr>
        <w:t xml:space="preserve">Résultat obtenu : =SOMME.SI.ENS(C2:C4;A2:A4;"Nord";B2:B4;"Produit A") renvoie 1250 (400+850, en ignorant la ligne Sud)</w:t>
      </w:r>
    </w:p>
    <w:p>
      <w:pPr>
        <w:pStyle w:val="Heading3"/>
        <w:spacing w:after="100" w:before="220"/>
      </w:pPr>
      <w:r>
        <w:t xml:space="preserve">NB.SI.ENS</w:t>
      </w:r>
    </w:p>
    <w:p>
      <w:pPr>
        <w:spacing w:after="120"/>
      </w:pPr>
      <w:r>
        <w:t xml:space="preserve">Compte les cellules qui respectent PLUSIEURS critères en même temps (l'équivalent multicritère de NB.SI).</w:t>
      </w:r>
    </w:p>
    <w:p>
      <w:pPr>
        <w:shd w:fill="EDEDED" w:val="clear"/>
        <w:spacing w:after="80" w:before="80"/>
        <w:ind w:left="200"/>
      </w:pPr>
      <w:r>
        <w:rPr>
          <w:rFonts w:ascii="Consolas" w:cs="Consolas" w:eastAsia="Consolas" w:hAnsi="Consolas"/>
          <w:b/>
          <w:bCs/>
          <w:color w:val="1F3864"/>
          <w:sz w:val="22"/>
          <w:szCs w:val="22"/>
        </w:rPr>
        <w:t xml:space="preserve">=NB.SI.ENS(plage_critère1 ; critère1 ; plage_critère2 ; critère2 ; …)</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F9E" w:val="clear"/>
            <w:tcMar>
              <w:top w:type="dxa" w:w="90"/>
              <w:left w:type="dxa" w:w="110"/>
              <w:bottom w:type="dxa" w:w="90"/>
              <w:right w:type="dxa" w:w="110"/>
            </w:tcMar>
          </w:tcPr>
          <w:p>
            <w:r>
              <w:rPr>
                <w:b/>
                <w:bCs/>
                <w:color w:val="FFFFFF"/>
              </w:rPr>
              <w:t xml:space="preserve">Région</w:t>
            </w:r>
          </w:p>
        </w:tc>
        <w:tc>
          <w:tcPr>
            <w:tcW w:type="dxa" w:w="4800"/>
            <w:shd w:fill="2E5F9E" w:val="clear"/>
            <w:tcMar>
              <w:top w:type="dxa" w:w="90"/>
              <w:left w:type="dxa" w:w="110"/>
              <w:bottom w:type="dxa" w:w="90"/>
              <w:right w:type="dxa" w:w="110"/>
            </w:tcMar>
          </w:tcPr>
          <w:p>
            <w:r>
              <w:rPr>
                <w:b/>
                <w:bCs/>
                <w:color w:val="FFFFFF"/>
              </w:rPr>
              <w:t xml:space="preserve">Produit</w:t>
            </w:r>
          </w:p>
        </w:tc>
      </w:tr>
      <w:tr>
        <w:tc>
          <w:tcPr>
            <w:tcW w:type="dxa" w:w="4800"/>
            <w:shd w:fill="FFFFFF" w:val="clear"/>
            <w:tcMar>
              <w:top w:type="dxa" w:w="90"/>
              <w:left w:type="dxa" w:w="110"/>
              <w:bottom w:type="dxa" w:w="90"/>
              <w:right w:type="dxa" w:w="110"/>
            </w:tcMar>
          </w:tcPr>
          <w:p>
            <w:r>
              <w:rPr>
                <w:b w:val="false"/>
                <w:bCs w:val="false"/>
              </w:rPr>
              <w:t xml:space="preserve">Nord</w:t>
            </w:r>
          </w:p>
        </w:tc>
        <w:tc>
          <w:tcPr>
            <w:tcW w:type="dxa" w:w="4800"/>
            <w:shd w:fill="FFFFFF" w:val="clear"/>
            <w:tcMar>
              <w:top w:type="dxa" w:w="90"/>
              <w:left w:type="dxa" w:w="110"/>
              <w:bottom w:type="dxa" w:w="90"/>
              <w:right w:type="dxa" w:w="110"/>
            </w:tcMar>
          </w:tcPr>
          <w:p>
            <w:r>
              <w:rPr>
                <w:b w:val="false"/>
                <w:bCs w:val="false"/>
              </w:rPr>
              <w:t xml:space="preserve">Produit A</w:t>
            </w:r>
          </w:p>
        </w:tc>
      </w:tr>
      <w:tr>
        <w:tc>
          <w:tcPr>
            <w:tcW w:type="dxa" w:w="4800"/>
            <w:shd w:fill="F2F2F2" w:val="clear"/>
            <w:tcMar>
              <w:top w:type="dxa" w:w="90"/>
              <w:left w:type="dxa" w:w="110"/>
              <w:bottom w:type="dxa" w:w="90"/>
              <w:right w:type="dxa" w:w="110"/>
            </w:tcMar>
          </w:tcPr>
          <w:p>
            <w:r>
              <w:rPr>
                <w:b w:val="false"/>
                <w:bCs w:val="false"/>
              </w:rPr>
              <w:t xml:space="preserve">Sud</w:t>
            </w:r>
          </w:p>
        </w:tc>
        <w:tc>
          <w:tcPr>
            <w:tcW w:type="dxa" w:w="4800"/>
            <w:shd w:fill="F2F2F2" w:val="clear"/>
            <w:tcMar>
              <w:top w:type="dxa" w:w="90"/>
              <w:left w:type="dxa" w:w="110"/>
              <w:bottom w:type="dxa" w:w="90"/>
              <w:right w:type="dxa" w:w="110"/>
            </w:tcMar>
          </w:tcPr>
          <w:p>
            <w:r>
              <w:rPr>
                <w:b w:val="false"/>
                <w:bCs w:val="false"/>
              </w:rPr>
              <w:t xml:space="preserve">Produit A</w:t>
            </w:r>
          </w:p>
        </w:tc>
      </w:tr>
      <w:tr>
        <w:tc>
          <w:tcPr>
            <w:tcW w:type="dxa" w:w="4800"/>
            <w:shd w:fill="FFFFFF" w:val="clear"/>
            <w:tcMar>
              <w:top w:type="dxa" w:w="90"/>
              <w:left w:type="dxa" w:w="110"/>
              <w:bottom w:type="dxa" w:w="90"/>
              <w:right w:type="dxa" w:w="110"/>
            </w:tcMar>
          </w:tcPr>
          <w:p>
            <w:r>
              <w:rPr>
                <w:b w:val="false"/>
                <w:bCs w:val="false"/>
              </w:rPr>
              <w:t xml:space="preserve">Nord</w:t>
            </w:r>
          </w:p>
        </w:tc>
        <w:tc>
          <w:tcPr>
            <w:tcW w:type="dxa" w:w="4800"/>
            <w:shd w:fill="FFFFFF" w:val="clear"/>
            <w:tcMar>
              <w:top w:type="dxa" w:w="90"/>
              <w:left w:type="dxa" w:w="110"/>
              <w:bottom w:type="dxa" w:w="90"/>
              <w:right w:type="dxa" w:w="110"/>
            </w:tcMar>
          </w:tcPr>
          <w:p>
            <w:r>
              <w:rPr>
                <w:b w:val="false"/>
                <w:bCs w:val="false"/>
              </w:rPr>
              <w:t xml:space="preserve">Produit A</w:t>
            </w:r>
          </w:p>
        </w:tc>
      </w:tr>
    </w:tbl>
    <w:p>
      <w:pPr>
        <w:spacing w:after="120"/>
      </w:pPr>
      <w:r>
        <w:rPr>
          <w:i/>
          <w:iCs/>
          <w:color w:val="2E7D32"/>
        </w:rPr>
        <w:t xml:space="preserve">Résultat obtenu : =NB.SI.ENS(A2:A4;"Nord";B2:B4;"Produit A") renvoie 2</w:t>
      </w:r>
    </w:p>
    <w:p>
      <w:pPr>
        <w:pStyle w:val="Heading3"/>
        <w:spacing w:after="100" w:before="220"/>
      </w:pPr>
      <w:r>
        <w:t xml:space="preserve">INDEX/EQUIV multicritère (technique de la clé concaténée)</w:t>
      </w:r>
    </w:p>
    <w:p>
      <w:pPr>
        <w:spacing w:after="120"/>
      </w:pPr>
      <w:r>
        <w:t xml:space="preserve">RECHERCHEV et INDEX/EQUIV « classiques » ne cherchent que sur UN seul critère. Pour chercher sur plusieurs critères à la fois (par exemple Région + Produit + Trimestre), la méthode la plus fiable — sans formule matricielle complexe — consiste à créer une colonne « Clé » qui concatène les critères, puis à chercher sur cette clé unique.</w:t>
      </w:r>
    </w:p>
    <w:p>
      <w:pPr>
        <w:shd w:fill="EDEDED" w:val="clear"/>
        <w:spacing w:after="80" w:before="80"/>
        <w:ind w:left="200"/>
      </w:pPr>
      <w:r>
        <w:rPr>
          <w:rFonts w:ascii="Consolas" w:cs="Consolas" w:eastAsia="Consolas" w:hAnsi="Consolas"/>
          <w:b/>
          <w:bCs/>
          <w:color w:val="1F3864"/>
          <w:sz w:val="22"/>
          <w:szCs w:val="22"/>
        </w:rPr>
        <w:t xml:space="preserve">1) Clé (colonne à ajouter) : =Région&amp;"|"&amp;Produit&amp;"|"&amp;Trimestre
2) =INDEX(plage_résultat;EQUIV(clé_recherchée;plage_clé;0))</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800"/>
        <w:gridCol w:w="2600"/>
      </w:tblGrid>
      <w:tr>
        <w:trPr>
          <w:tblHeader/>
        </w:trPr>
        <w:tc>
          <w:tcPr>
            <w:tcW w:type="dxa" w:w="2200"/>
            <w:shd w:fill="2E5F9E" w:val="clear"/>
            <w:tcMar>
              <w:top w:type="dxa" w:w="90"/>
              <w:left w:type="dxa" w:w="110"/>
              <w:bottom w:type="dxa" w:w="90"/>
              <w:right w:type="dxa" w:w="110"/>
            </w:tcMar>
          </w:tcPr>
          <w:p>
            <w:r>
              <w:rPr>
                <w:b/>
                <w:bCs/>
                <w:color w:val="FFFFFF"/>
              </w:rPr>
              <w:t xml:space="preserve">Région</w:t>
            </w:r>
          </w:p>
        </w:tc>
        <w:tc>
          <w:tcPr>
            <w:tcW w:type="dxa" w:w="2400"/>
            <w:shd w:fill="2E5F9E" w:val="clear"/>
            <w:tcMar>
              <w:top w:type="dxa" w:w="90"/>
              <w:left w:type="dxa" w:w="110"/>
              <w:bottom w:type="dxa" w:w="90"/>
              <w:right w:type="dxa" w:w="110"/>
            </w:tcMar>
          </w:tcPr>
          <w:p>
            <w:r>
              <w:rPr>
                <w:b/>
                <w:bCs/>
                <w:color w:val="FFFFFF"/>
              </w:rPr>
              <w:t xml:space="preserve">Produit</w:t>
            </w:r>
          </w:p>
        </w:tc>
        <w:tc>
          <w:tcPr>
            <w:tcW w:type="dxa" w:w="1800"/>
            <w:shd w:fill="2E5F9E" w:val="clear"/>
            <w:tcMar>
              <w:top w:type="dxa" w:w="90"/>
              <w:left w:type="dxa" w:w="110"/>
              <w:bottom w:type="dxa" w:w="90"/>
              <w:right w:type="dxa" w:w="110"/>
            </w:tcMar>
          </w:tcPr>
          <w:p>
            <w:r>
              <w:rPr>
                <w:b/>
                <w:bCs/>
                <w:color w:val="FFFFFF"/>
              </w:rPr>
              <w:t xml:space="preserve">Trimestre</w:t>
            </w:r>
          </w:p>
        </w:tc>
        <w:tc>
          <w:tcPr>
            <w:tcW w:type="dxa" w:w="1800"/>
            <w:shd w:fill="2E5F9E" w:val="clear"/>
            <w:tcMar>
              <w:top w:type="dxa" w:w="90"/>
              <w:left w:type="dxa" w:w="110"/>
              <w:bottom w:type="dxa" w:w="90"/>
              <w:right w:type="dxa" w:w="110"/>
            </w:tcMar>
          </w:tcPr>
          <w:p>
            <w:r>
              <w:rPr>
                <w:b/>
                <w:bCs/>
                <w:color w:val="FFFFFF"/>
              </w:rPr>
              <w:t xml:space="preserve">Montant</w:t>
            </w:r>
          </w:p>
        </w:tc>
        <w:tc>
          <w:tcPr>
            <w:tcW w:type="dxa" w:w="2600"/>
            <w:shd w:fill="2E5F9E" w:val="clear"/>
            <w:tcMar>
              <w:top w:type="dxa" w:w="90"/>
              <w:left w:type="dxa" w:w="110"/>
              <w:bottom w:type="dxa" w:w="90"/>
              <w:right w:type="dxa" w:w="110"/>
            </w:tcMar>
          </w:tcPr>
          <w:p>
            <w:r>
              <w:rPr>
                <w:b/>
                <w:bCs/>
                <w:color w:val="FFFFFF"/>
              </w:rPr>
              <w:t xml:space="preserve">Clé</w:t>
            </w:r>
          </w:p>
        </w:tc>
      </w:tr>
      <w:tr>
        <w:tc>
          <w:tcPr>
            <w:tcW w:type="dxa" w:w="2200"/>
            <w:shd w:fill="FFFFFF" w:val="clear"/>
            <w:tcMar>
              <w:top w:type="dxa" w:w="90"/>
              <w:left w:type="dxa" w:w="110"/>
              <w:bottom w:type="dxa" w:w="90"/>
              <w:right w:type="dxa" w:w="110"/>
            </w:tcMar>
          </w:tcPr>
          <w:p>
            <w:r>
              <w:rPr>
                <w:b w:val="false"/>
                <w:bCs w:val="false"/>
              </w:rPr>
              <w:t xml:space="preserve">Sud</w:t>
            </w:r>
          </w:p>
        </w:tc>
        <w:tc>
          <w:tcPr>
            <w:tcW w:type="dxa" w:w="2400"/>
            <w:shd w:fill="FFFFFF" w:val="clear"/>
            <w:tcMar>
              <w:top w:type="dxa" w:w="90"/>
              <w:left w:type="dxa" w:w="110"/>
              <w:bottom w:type="dxa" w:w="90"/>
              <w:right w:type="dxa" w:w="110"/>
            </w:tcMar>
          </w:tcPr>
          <w:p>
            <w:r>
              <w:rPr>
                <w:b w:val="false"/>
                <w:bCs w:val="false"/>
              </w:rPr>
              <w:t xml:space="preserve">Produit B</w:t>
            </w:r>
          </w:p>
        </w:tc>
        <w:tc>
          <w:tcPr>
            <w:tcW w:type="dxa" w:w="1800"/>
            <w:shd w:fill="FFFFFF" w:val="clear"/>
            <w:tcMar>
              <w:top w:type="dxa" w:w="90"/>
              <w:left w:type="dxa" w:w="110"/>
              <w:bottom w:type="dxa" w:w="90"/>
              <w:right w:type="dxa" w:w="110"/>
            </w:tcMar>
          </w:tcPr>
          <w:p>
            <w:r>
              <w:rPr>
                <w:b w:val="false"/>
                <w:bCs w:val="false"/>
              </w:rPr>
              <w:t xml:space="preserve">T2</w:t>
            </w:r>
          </w:p>
        </w:tc>
        <w:tc>
          <w:tcPr>
            <w:tcW w:type="dxa" w:w="1800"/>
            <w:shd w:fill="FFFFFF" w:val="clear"/>
            <w:tcMar>
              <w:top w:type="dxa" w:w="90"/>
              <w:left w:type="dxa" w:w="110"/>
              <w:bottom w:type="dxa" w:w="90"/>
              <w:right w:type="dxa" w:w="110"/>
            </w:tcMar>
          </w:tcPr>
          <w:p>
            <w:r>
              <w:rPr>
                <w:b w:val="false"/>
                <w:bCs w:val="false"/>
              </w:rPr>
              <w:t xml:space="preserve">671</w:t>
            </w:r>
          </w:p>
        </w:tc>
        <w:tc>
          <w:tcPr>
            <w:tcW w:type="dxa" w:w="2600"/>
            <w:shd w:fill="FFFFFF" w:val="clear"/>
            <w:tcMar>
              <w:top w:type="dxa" w:w="90"/>
              <w:left w:type="dxa" w:w="110"/>
              <w:bottom w:type="dxa" w:w="90"/>
              <w:right w:type="dxa" w:w="110"/>
            </w:tcMar>
          </w:tcPr>
          <w:p>
            <w:r>
              <w:rPr>
                <w:b w:val="false"/>
                <w:bCs w:val="false"/>
              </w:rPr>
              <w:t xml:space="preserve">=Sud&amp;"|"&amp;Produit B&amp;"|"&amp;T2</w:t>
            </w:r>
          </w:p>
        </w:tc>
      </w:tr>
    </w:tbl>
    <w:p>
      <w:pPr>
        <w:spacing w:after="120"/>
      </w:pPr>
      <w:r>
        <w:rPr>
          <w:i/>
          <w:iCs/>
          <w:color w:val="2E7D32"/>
        </w:rPr>
        <w:t xml:space="preserve">Résultat obtenu : Clé = "Sud|Produit B|T2" ; en cherchant cette même clé construite à partir des 3 critères saisis, EQUIV la retrouve et INDEX renvoie 671</w:t>
      </w:r>
    </w:p>
    <w:p>
      <w:pPr>
        <w:spacing w:after="120"/>
      </w:pPr>
      <w:r>
        <w:rPr>
          <w:i/>
          <w:iCs/>
          <w:color w:val="666666"/>
        </w:rPr>
        <w:t xml:space="preserve">À retenir : Cette méthode évite d'avoir à saisir une formule matricielle avec Ctrl+Maj+Entrée : elle fonctionne comme une formule normale, ce qui la rend plus simple à maintenir.</w:t>
      </w:r>
    </w:p>
    <w:p>
      <w:pPr>
        <w:pStyle w:val="Heading2"/>
        <w:spacing w:after="150" w:before="300"/>
      </w:pPr>
      <w:r>
        <w:t xml:space="preserve">Fonctions matricielles dynamiques</w:t>
      </w:r>
    </w:p>
    <w:p>
      <w:pPr>
        <w:spacing w:after="120"/>
      </w:pPr>
      <w:r>
        <w:rPr>
          <w:i/>
          <w:iCs/>
        </w:rPr>
        <w:t xml:space="preserve">Ces quatre fonctions sont apparues avec Excel 365 et Excel 2021 : elles renvoient plusieurs résultats à la fois, qui se répartissent (« débordent ») automatiquement sur les cellules voisines, sans qu'il soit nécessaire de recopier une formule vers le bas.</w:t>
      </w:r>
    </w:p>
    <w:p>
      <w:pPr>
        <w:pStyle w:val="Heading3"/>
        <w:spacing w:after="100" w:before="220"/>
      </w:pPr>
      <w:r>
        <w:t xml:space="preserve">UNIQUE</w:t>
      </w:r>
    </w:p>
    <w:p>
      <w:pPr>
        <w:spacing w:after="120"/>
      </w:pPr>
      <w:r>
        <w:t xml:space="preserve">Extrait automatiquement la liste des valeurs distinctes d'une plage, en supprimant les doublons — sans TCD, sans filtre, sans suppression manuelle.</w:t>
      </w:r>
    </w:p>
    <w:p>
      <w:pPr>
        <w:shd w:fill="EDEDED" w:val="clear"/>
        <w:spacing w:after="80" w:before="80"/>
        <w:ind w:left="200"/>
      </w:pPr>
      <w:r>
        <w:rPr>
          <w:rFonts w:ascii="Consolas" w:cs="Consolas" w:eastAsia="Consolas" w:hAnsi="Consolas"/>
          <w:b/>
          <w:bCs/>
          <w:color w:val="1F3864"/>
          <w:sz w:val="22"/>
          <w:szCs w:val="22"/>
        </w:rPr>
        <w:t xml:space="preserve">=UNIQUE(plage)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tblHeader/>
        </w:trPr>
        <w:tc>
          <w:tcPr>
            <w:tcW w:type="dxa" w:w="9600"/>
            <w:shd w:fill="2E5F9E" w:val="clear"/>
            <w:tcMar>
              <w:top w:type="dxa" w:w="90"/>
              <w:left w:type="dxa" w:w="110"/>
              <w:bottom w:type="dxa" w:w="90"/>
              <w:right w:type="dxa" w:w="110"/>
            </w:tcMar>
          </w:tcPr>
          <w:p>
            <w:r>
              <w:rPr>
                <w:b/>
                <w:bCs/>
                <w:color w:val="FFFFFF"/>
              </w:rPr>
              <w:t xml:space="preserve">Produits vendus (avec doublons)</w:t>
            </w:r>
          </w:p>
        </w:tc>
      </w:tr>
      <w:tr>
        <w:tc>
          <w:tcPr>
            <w:tcW w:type="dxa" w:w="9600"/>
            <w:shd w:fill="FFFFFF" w:val="clear"/>
            <w:tcMar>
              <w:top w:type="dxa" w:w="90"/>
              <w:left w:type="dxa" w:w="110"/>
              <w:bottom w:type="dxa" w:w="90"/>
              <w:right w:type="dxa" w:w="110"/>
            </w:tcMar>
          </w:tcPr>
          <w:p>
            <w:r>
              <w:rPr>
                <w:b w:val="false"/>
                <w:bCs w:val="false"/>
              </w:rPr>
              <w:t xml:space="preserve">Produit A</w:t>
            </w:r>
          </w:p>
        </w:tc>
      </w:tr>
      <w:tr>
        <w:tc>
          <w:tcPr>
            <w:tcW w:type="dxa" w:w="9600"/>
            <w:shd w:fill="F2F2F2" w:val="clear"/>
            <w:tcMar>
              <w:top w:type="dxa" w:w="90"/>
              <w:left w:type="dxa" w:w="110"/>
              <w:bottom w:type="dxa" w:w="90"/>
              <w:right w:type="dxa" w:w="110"/>
            </w:tcMar>
          </w:tcPr>
          <w:p>
            <w:r>
              <w:rPr>
                <w:b w:val="false"/>
                <w:bCs w:val="false"/>
              </w:rPr>
              <w:t xml:space="preserve">Produit B</w:t>
            </w:r>
          </w:p>
        </w:tc>
      </w:tr>
      <w:tr>
        <w:tc>
          <w:tcPr>
            <w:tcW w:type="dxa" w:w="9600"/>
            <w:shd w:fill="FFFFFF" w:val="clear"/>
            <w:tcMar>
              <w:top w:type="dxa" w:w="90"/>
              <w:left w:type="dxa" w:w="110"/>
              <w:bottom w:type="dxa" w:w="90"/>
              <w:right w:type="dxa" w:w="110"/>
            </w:tcMar>
          </w:tcPr>
          <w:p>
            <w:r>
              <w:rPr>
                <w:b w:val="false"/>
                <w:bCs w:val="false"/>
              </w:rPr>
              <w:t xml:space="preserve">Produit A</w:t>
            </w:r>
          </w:p>
        </w:tc>
      </w:tr>
      <w:tr>
        <w:tc>
          <w:tcPr>
            <w:tcW w:type="dxa" w:w="9600"/>
            <w:shd w:fill="F2F2F2" w:val="clear"/>
            <w:tcMar>
              <w:top w:type="dxa" w:w="90"/>
              <w:left w:type="dxa" w:w="110"/>
              <w:bottom w:type="dxa" w:w="90"/>
              <w:right w:type="dxa" w:w="110"/>
            </w:tcMar>
          </w:tcPr>
          <w:p>
            <w:r>
              <w:rPr>
                <w:b w:val="false"/>
                <w:bCs w:val="false"/>
              </w:rPr>
              <w:t xml:space="preserve">Produit C</w:t>
            </w:r>
          </w:p>
        </w:tc>
      </w:tr>
      <w:tr>
        <w:tc>
          <w:tcPr>
            <w:tcW w:type="dxa" w:w="9600"/>
            <w:shd w:fill="FFFFFF" w:val="clear"/>
            <w:tcMar>
              <w:top w:type="dxa" w:w="90"/>
              <w:left w:type="dxa" w:w="110"/>
              <w:bottom w:type="dxa" w:w="90"/>
              <w:right w:type="dxa" w:w="110"/>
            </w:tcMar>
          </w:tcPr>
          <w:p>
            <w:r>
              <w:rPr>
                <w:b w:val="false"/>
                <w:bCs w:val="false"/>
              </w:rPr>
              <w:t xml:space="preserve">Produit B</w:t>
            </w:r>
          </w:p>
        </w:tc>
      </w:tr>
    </w:tbl>
    <w:p>
      <w:pPr>
        <w:spacing w:after="120"/>
      </w:pPr>
      <w:r>
        <w:rPr>
          <w:i/>
          <w:iCs/>
          <w:color w:val="2E7D32"/>
        </w:rPr>
        <w:t xml:space="preserve">Résultat obtenu : =UNIQUE(A2:A6) renvoie "Produit A", "Produit B", "Produit C" (chaque valeur une seule fois)</w:t>
      </w:r>
    </w:p>
    <w:p>
      <w:pPr>
        <w:pStyle w:val="Heading3"/>
        <w:spacing w:after="100" w:before="220"/>
      </w:pPr>
      <w:r>
        <w:t xml:space="preserve">TRIER</w:t>
      </w:r>
    </w:p>
    <w:p>
      <w:pPr>
        <w:spacing w:after="120"/>
      </w:pPr>
      <w:r>
        <w:t xml:space="preserve">Trie automatiquement une plage sans passer par le bouton Trier du ruban — pratique quand le tri doit se mettre à jour automatiquement si les données changent.</w:t>
      </w:r>
    </w:p>
    <w:p>
      <w:pPr>
        <w:shd w:fill="EDEDED" w:val="clear"/>
        <w:spacing w:after="80" w:before="80"/>
        <w:ind w:left="200"/>
      </w:pPr>
      <w:r>
        <w:rPr>
          <w:rFonts w:ascii="Consolas" w:cs="Consolas" w:eastAsia="Consolas" w:hAnsi="Consolas"/>
          <w:b/>
          <w:bCs/>
          <w:color w:val="1F3864"/>
          <w:sz w:val="22"/>
          <w:szCs w:val="22"/>
        </w:rPr>
        <w:t xml:space="preserve">=TRIER(plage ; [n°_colonne] ; [ordre])</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tblHeader/>
        </w:trPr>
        <w:tc>
          <w:tcPr>
            <w:tcW w:type="dxa" w:w="9600"/>
            <w:shd w:fill="2E5F9E" w:val="clear"/>
            <w:tcMar>
              <w:top w:type="dxa" w:w="90"/>
              <w:left w:type="dxa" w:w="110"/>
              <w:bottom w:type="dxa" w:w="90"/>
              <w:right w:type="dxa" w:w="110"/>
            </w:tcMar>
          </w:tcPr>
          <w:p>
            <w:r>
              <w:rPr>
                <w:b/>
                <w:bCs/>
                <w:color w:val="FFFFFF"/>
              </w:rPr>
              <w:t xml:space="preserve">Produits (désordonnés)</w:t>
            </w:r>
          </w:p>
        </w:tc>
      </w:tr>
      <w:tr>
        <w:tc>
          <w:tcPr>
            <w:tcW w:type="dxa" w:w="9600"/>
            <w:shd w:fill="FFFFFF" w:val="clear"/>
            <w:tcMar>
              <w:top w:type="dxa" w:w="90"/>
              <w:left w:type="dxa" w:w="110"/>
              <w:bottom w:type="dxa" w:w="90"/>
              <w:right w:type="dxa" w:w="110"/>
            </w:tcMar>
          </w:tcPr>
          <w:p>
            <w:r>
              <w:rPr>
                <w:b w:val="false"/>
                <w:bCs w:val="false"/>
              </w:rPr>
              <w:t xml:space="preserve">Produit C</w:t>
            </w:r>
          </w:p>
        </w:tc>
      </w:tr>
      <w:tr>
        <w:tc>
          <w:tcPr>
            <w:tcW w:type="dxa" w:w="9600"/>
            <w:shd w:fill="F2F2F2" w:val="clear"/>
            <w:tcMar>
              <w:top w:type="dxa" w:w="90"/>
              <w:left w:type="dxa" w:w="110"/>
              <w:bottom w:type="dxa" w:w="90"/>
              <w:right w:type="dxa" w:w="110"/>
            </w:tcMar>
          </w:tcPr>
          <w:p>
            <w:r>
              <w:rPr>
                <w:b w:val="false"/>
                <w:bCs w:val="false"/>
              </w:rPr>
              <w:t xml:space="preserve">Produit A</w:t>
            </w:r>
          </w:p>
        </w:tc>
      </w:tr>
      <w:tr>
        <w:tc>
          <w:tcPr>
            <w:tcW w:type="dxa" w:w="9600"/>
            <w:shd w:fill="FFFFFF" w:val="clear"/>
            <w:tcMar>
              <w:top w:type="dxa" w:w="90"/>
              <w:left w:type="dxa" w:w="110"/>
              <w:bottom w:type="dxa" w:w="90"/>
              <w:right w:type="dxa" w:w="110"/>
            </w:tcMar>
          </w:tcPr>
          <w:p>
            <w:r>
              <w:rPr>
                <w:b w:val="false"/>
                <w:bCs w:val="false"/>
              </w:rPr>
              <w:t xml:space="preserve">Produit B</w:t>
            </w:r>
          </w:p>
        </w:tc>
      </w:tr>
    </w:tbl>
    <w:p>
      <w:pPr>
        <w:spacing w:after="120"/>
      </w:pPr>
      <w:r>
        <w:rPr>
          <w:i/>
          <w:iCs/>
          <w:color w:val="2E7D32"/>
        </w:rPr>
        <w:t xml:space="preserve">Résultat obtenu : =TRIER(A2:A4) renvoie "Produit A", "Produit B", "Produit C" (ordre alphabétique)</w:t>
      </w:r>
    </w:p>
    <w:p>
      <w:pPr>
        <w:pStyle w:val="Heading3"/>
        <w:spacing w:after="100" w:before="220"/>
      </w:pPr>
      <w:r>
        <w:t xml:space="preserve">FILTRE</w:t>
      </w:r>
    </w:p>
    <w:p>
      <w:pPr>
        <w:spacing w:after="120"/>
      </w:pPr>
      <w:r>
        <w:t xml:space="preserve">Extrait uniquement les lignes qui respectent une condition, un peu comme un filtre automatique mais directement utilisable dans une formule (pour alimenter un graphique ou un autre calcul, par exemple).</w:t>
      </w:r>
    </w:p>
    <w:p>
      <w:pPr>
        <w:shd w:fill="EDEDED" w:val="clear"/>
        <w:spacing w:after="80" w:before="80"/>
        <w:ind w:left="200"/>
      </w:pPr>
      <w:r>
        <w:rPr>
          <w:rFonts w:ascii="Consolas" w:cs="Consolas" w:eastAsia="Consolas" w:hAnsi="Consolas"/>
          <w:b/>
          <w:bCs/>
          <w:color w:val="1F3864"/>
          <w:sz w:val="22"/>
          <w:szCs w:val="22"/>
        </w:rPr>
        <w:t xml:space="preserve">=FILTRE(plage ; condition)</w:t>
      </w:r>
    </w:p>
    <w:p>
      <w:pPr>
        <w:spacing w:after="120"/>
      </w:pPr>
      <w:r>
        <w:rPr>
          <w:b/>
          <w:bCs/>
        </w:rPr>
        <w:t xml:space="preserve">Donnée d'exemple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tblHeader/>
        </w:trPr>
        <w:tc>
          <w:tcPr>
            <w:tcW w:type="dxa" w:w="9600"/>
            <w:shd w:fill="2E5F9E" w:val="clear"/>
            <w:tcMar>
              <w:top w:type="dxa" w:w="90"/>
              <w:left w:type="dxa" w:w="110"/>
              <w:bottom w:type="dxa" w:w="90"/>
              <w:right w:type="dxa" w:w="110"/>
            </w:tcMar>
          </w:tcPr>
          <w:p>
            <w:r>
              <w:rPr>
                <w:b/>
                <w:bCs/>
                <w:color w:val="FFFFFF"/>
              </w:rPr>
              <w:t xml:space="preserve">Produit</w:t>
            </w:r>
          </w:p>
        </w:tc>
      </w:tr>
      <w:tr>
        <w:tc>
          <w:tcPr>
            <w:tcW w:type="dxa" w:w="9600"/>
            <w:shd w:fill="FFFFFF" w:val="clear"/>
            <w:tcMar>
              <w:top w:type="dxa" w:w="90"/>
              <w:left w:type="dxa" w:w="110"/>
              <w:bottom w:type="dxa" w:w="90"/>
              <w:right w:type="dxa" w:w="110"/>
            </w:tcMar>
          </w:tcPr>
          <w:p>
            <w:r>
              <w:rPr>
                <w:b w:val="false"/>
                <w:bCs w:val="false"/>
              </w:rPr>
              <w:t xml:space="preserve">Produit A</w:t>
            </w:r>
          </w:p>
        </w:tc>
      </w:tr>
      <w:tr>
        <w:tc>
          <w:tcPr>
            <w:tcW w:type="dxa" w:w="9600"/>
            <w:shd w:fill="F2F2F2" w:val="clear"/>
            <w:tcMar>
              <w:top w:type="dxa" w:w="90"/>
              <w:left w:type="dxa" w:w="110"/>
              <w:bottom w:type="dxa" w:w="90"/>
              <w:right w:type="dxa" w:w="110"/>
            </w:tcMar>
          </w:tcPr>
          <w:p>
            <w:r>
              <w:rPr>
                <w:b w:val="false"/>
                <w:bCs w:val="false"/>
              </w:rPr>
              <w:t xml:space="preserve">Produit B</w:t>
            </w:r>
          </w:p>
        </w:tc>
      </w:tr>
      <w:tr>
        <w:tc>
          <w:tcPr>
            <w:tcW w:type="dxa" w:w="9600"/>
            <w:shd w:fill="FFFFFF" w:val="clear"/>
            <w:tcMar>
              <w:top w:type="dxa" w:w="90"/>
              <w:left w:type="dxa" w:w="110"/>
              <w:bottom w:type="dxa" w:w="90"/>
              <w:right w:type="dxa" w:w="110"/>
            </w:tcMar>
          </w:tcPr>
          <w:p>
            <w:r>
              <w:rPr>
                <w:b w:val="false"/>
                <w:bCs w:val="false"/>
              </w:rPr>
              <w:t xml:space="preserve">Produit A</w:t>
            </w:r>
          </w:p>
        </w:tc>
      </w:tr>
    </w:tbl>
    <w:p>
      <w:pPr>
        <w:spacing w:after="120"/>
      </w:pPr>
      <w:r>
        <w:rPr>
          <w:i/>
          <w:iCs/>
          <w:color w:val="2E7D32"/>
        </w:rPr>
        <w:t xml:space="preserve">Résultat obtenu : =FILTRE(A2:A4;A2:A4="Produit A") renvoie uniquement les deux "Produit A"</w:t>
      </w:r>
    </w:p>
    <w:p>
      <w:pPr>
        <w:pStyle w:val="Heading3"/>
        <w:spacing w:after="100" w:before="220"/>
      </w:pPr>
      <w:r>
        <w:t xml:space="preserve">SEQUENCE</w:t>
      </w:r>
    </w:p>
    <w:p>
      <w:pPr>
        <w:spacing w:after="120"/>
      </w:pPr>
      <w:r>
        <w:t xml:space="preserve">Génère automatiquement une série de nombres, sans avoir à les taper un par un ni à utiliser la poignée de recopie. Pratique pour créer une liste de mois (1 à 12), des numéros de ligne, ou un calendrier.</w:t>
      </w:r>
    </w:p>
    <w:p>
      <w:pPr>
        <w:shd w:fill="EDEDED" w:val="clear"/>
        <w:spacing w:after="80" w:before="80"/>
        <w:ind w:left="200"/>
      </w:pPr>
      <w:r>
        <w:rPr>
          <w:rFonts w:ascii="Consolas" w:cs="Consolas" w:eastAsia="Consolas" w:hAnsi="Consolas"/>
          <w:b/>
          <w:bCs/>
          <w:color w:val="1F3864"/>
          <w:sz w:val="22"/>
          <w:szCs w:val="22"/>
        </w:rPr>
        <w:t xml:space="preserve">=SEQUENCE(lignes ; [colonnes] ; [début] ; [pas])</w:t>
      </w:r>
    </w:p>
    <w:p>
      <w:pPr>
        <w:spacing w:after="120"/>
      </w:pPr>
      <w:r>
        <w:rPr>
          <w:i/>
          <w:iCs/>
          <w:color w:val="2E7D32"/>
        </w:rPr>
        <w:t xml:space="preserve">Résultat obtenu : =SEQUENCE(12) renvoie automatiquement 1, 2, 3, 4, 5, 6, 7, 8, 9, 10, 11, 12 sur 12 cellules</w:t>
      </w:r>
    </w:p>
    <w:p>
      <w:pPr>
        <w:spacing w:after="120"/>
      </w:pPr>
      <w:r>
        <w:rPr>
          <w:i/>
          <w:iCs/>
        </w:rPr>
        <w:t xml:space="preserve">Point important : ces 4 fonctions nécessitent Excel 365, Excel 2021 ou une version plus récente. Sur une version antérieure (Excel 2019 ou plus ancien), elles ne sont pas reconnues. Si votre fichier doit être ouvert par des personnes utilisant d'anciennes versions, mieux vaut s'en tenir aux techniques classiques (TCD, INDEX/EQUIV, tri manuel).</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2E5F9E"/>
      <w:sz w:val="26"/>
      <w:szCs w:val="26"/>
    </w:rPr>
  </w:style>
  <w:style w:type="paragraph" w:styleId="Heading3">
    <w:name w:val="Heading 3"/>
    <w:basedOn w:val="Normal"/>
    <w:next w:val="Normal"/>
    <w:qFormat/>
    <w:pPr>
      <w:spacing w:after="100" w:before="200"/>
      <w:outlineLvl w:val="2"/>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2026-08-15T12:15:06.738Z</dcterms:created>
  <dcterms:modified xsi:type="dcterms:W3CDTF">2026-08-15T12:15:06.750Z</dcterms:modified>
</cp:coreProperties>
</file>

<file path=docProps/custom.xml><?xml version="1.0" encoding="utf-8"?>
<Properties xmlns="http://schemas.openxmlformats.org/officeDocument/2006/custom-properties" xmlns:vt="http://schemas.openxmlformats.org/officeDocument/2006/docPropsVTypes"/>
</file>