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Doe</w:t>
      </w:r>
    </w:p>
    <w:p>
      <w:r>
        <w:t>Senior Software Engineer</w:t>
      </w:r>
    </w:p>
    <w:p>
      <w:pPr>
        <w:pStyle w:val="Heading2"/>
      </w:pPr>
      <w:r>
        <w:t>Experience</w:t>
      </w:r>
    </w:p>
    <w:p>
      <w:r>
        <w:t>Senior Engineer at Acme Corp (2019-2024): built async FastAPI services.</w:t>
      </w:r>
    </w:p>
    <w:p>
      <w:pPr>
        <w:pStyle w:val="Heading2"/>
      </w:pPr>
      <w:r>
        <w:t>Skills</w:t>
      </w:r>
    </w:p>
    <w:p>
      <w:r>
        <w:t>Python, FastAPI, PostgreSQL, Docker</w:t>
      </w:r>
    </w:p>
    <w:p>
      <w:pPr>
        <w:pStyle w:val="Heading2"/>
      </w:pPr>
      <w:r>
        <w:t>Education</w:t>
      </w:r>
    </w:p>
    <w:p>
      <w:r>
        <w:t>BSc Computer Science, State University (2015)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