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Public Sans" w:hAnsi="Public Sans" w:eastAsia="Public Sans"/>
          <w:b w:val="0"/>
          <w:i w:val="0"/>
          <w:color w:val="000000"/>
          <w:sz w:val="36"/>
        </w:rPr>
        <w:t xml:space="preserve">NGHỊ QUYẾT / QUYẾT ĐỊNH CỦA HỘI ĐỒNG THÀNH VIÊN</w:t>
      </w:r>
    </w:p>
    <w:p>
      <w:pPr>
        <w:spacing w:before="0" w:after="160" w:line="276" w:lineRule="auto"/>
        <w:jc w:val="center"/>
      </w:pPr>
      <w:r>
        <w:rPr>
          <w:rFonts w:ascii="Public Sans" w:hAnsi="Public Sans" w:eastAsia="Public Sans"/>
          <w:b w:val="0"/>
          <w:i/>
          <w:color w:val="000000"/>
          <w:sz w:val="22"/>
        </w:rPr>
        <w:t xml:space="preserve">Về việc mức lương và chế độ của Tổng giám đốc</w:t>
      </w:r>
    </w:p>
    <w:p>
      <w:pPr>
        <w:spacing w:before="0" w:after="240" w:line="240" w:lineRule="auto"/>
        <w:jc w:val="center"/>
      </w:pPr>
      <w:r>
        <w:rPr>
          <w:rFonts w:ascii="Public Sans" w:hAnsi="Public Sans" w:eastAsia="Public Sans"/>
          <w:b w:val="0"/>
          <w:i w:val="0"/>
          <w:color w:val="000000"/>
          <w:sz w:val="20"/>
        </w:rPr>
        <w:t xml:space="preserve">Số: 07/2026/NQ-HĐTV   |   Ngày: 01/09/2026</w:t>
      </w:r>
    </w:p>
    <w:p>
      <w:pPr>
        <w:spacing w:before="0" w:after="160" w:line="276" w:lineRule="auto"/>
        <w:jc w:val="center"/>
      </w:pPr>
      <w:r>
        <w:rPr>
          <w:rFonts w:ascii="Public Sans" w:hAnsi="Public Sans" w:eastAsia="Public Sans"/>
          <w:b/>
          <w:i w:val="0"/>
          <w:color w:val="222222"/>
          <w:sz w:val="24"/>
        </w:rPr>
        <w:t xml:space="preserve">CÔNG TY TNHH DS CORPORATION</w:t>
      </w:r>
    </w:p>
    <w:p>
      <w:pPr>
        <w:spacing w:before="0" w:after="80" w:line="276" w:lineRule="auto"/>
        <w:jc w:val="left"/>
      </w:pPr>
      <w:r>
        <w:rPr>
          <w:rFonts w:ascii="Public Sans" w:hAnsi="Public Sans" w:eastAsia="Public Sans"/>
          <w:b w:val="0"/>
          <w:i w:val="0"/>
          <w:color w:val="222222"/>
          <w:sz w:val="24"/>
        </w:rPr>
        <w:t xml:space="preserve">Căn cứ Luật Doanh nghiệp hiện hành;</w:t>
      </w:r>
    </w:p>
    <w:p>
      <w:pPr>
        <w:spacing w:before="0" w:after="80" w:line="276" w:lineRule="auto"/>
        <w:jc w:val="left"/>
      </w:pPr>
      <w:r>
        <w:rPr>
          <w:rFonts w:ascii="Public Sans" w:hAnsi="Public Sans" w:eastAsia="Public Sans"/>
          <w:b w:val="0"/>
          <w:i w:val="0"/>
          <w:color w:val="222222"/>
          <w:sz w:val="24"/>
        </w:rPr>
        <w:t xml:space="preserve">Căn cứ Bộ luật Lao động hiện hành;</w:t>
      </w:r>
    </w:p>
    <w:p>
      <w:pPr>
        <w:spacing w:before="0" w:after="80" w:line="276" w:lineRule="auto"/>
        <w:jc w:val="left"/>
      </w:pPr>
      <w:r>
        <w:rPr>
          <w:rFonts w:ascii="Public Sans" w:hAnsi="Public Sans" w:eastAsia="Public Sans"/>
          <w:b w:val="0"/>
          <w:i w:val="0"/>
          <w:color w:val="222222"/>
          <w:sz w:val="24"/>
        </w:rPr>
        <w:t xml:space="preserve">Căn cứ Điều lệ CÔNG TY TNHH DS CORPORATION;</w:t>
      </w:r>
    </w:p>
    <w:p>
      <w:pPr>
        <w:spacing w:before="0" w:after="160" w:line="276" w:lineRule="auto"/>
        <w:jc w:val="left"/>
      </w:pPr>
      <w:r>
        <w:rPr>
          <w:rFonts w:ascii="Public Sans" w:hAnsi="Public Sans" w:eastAsia="Public Sans"/>
          <w:b w:val="0"/>
          <w:i w:val="0"/>
          <w:color w:val="222222"/>
          <w:sz w:val="24"/>
        </w:rPr>
        <w:t xml:space="preserve">Căn cứ Nghị quyết/Quyết định của Hội đồng thành viên số 02/2026/NQ-HĐTV ngày 18/06/2026 về việc bổ nhiệm Tổng giám đốc;</w:t>
      </w:r>
    </w:p>
    <w:p>
      <w:pPr>
        <w:spacing w:before="0" w:after="200" w:line="276" w:lineRule="auto"/>
        <w:jc w:val="center"/>
      </w:pPr>
      <w:r>
        <w:rPr>
          <w:rFonts w:ascii="Public Sans" w:hAnsi="Public Sans" w:eastAsia="Public Sans"/>
          <w:b/>
          <w:i w:val="0"/>
          <w:color w:val="222222"/>
          <w:sz w:val="24"/>
        </w:rPr>
        <w:t xml:space="preserve">HỘI ĐỒNG THÀNH VIÊN QUYẾT NGHỊ NHƯ SAU:</w:t>
      </w:r>
    </w:p>
    <w:p>
      <w:pPr>
        <w:keepNext/>
        <w:spacing w:before="140" w:after="80" w:line="276" w:lineRule="auto"/>
        <w:jc w:val="left"/>
      </w:pPr>
      <w:r>
        <w:rPr>
          <w:rFonts w:ascii="Public Sans" w:hAnsi="Public Sans" w:eastAsia="Public Sans"/>
          <w:b/>
          <w:i w:val="0"/>
          <w:color w:val="222222"/>
          <w:sz w:val="24"/>
        </w:rPr>
        <w:t xml:space="preserve">Điều 1. Mức lương của Tổng giám đốc</w:t>
      </w:r>
    </w:p>
    <w:p>
      <w:pPr>
        <w:spacing w:before="0" w:after="80" w:line="276" w:lineRule="auto"/>
        <w:jc w:val="left"/>
      </w:pPr>
      <w:r>
        <w:rPr>
          <w:rFonts w:ascii="Public Sans" w:hAnsi="Public Sans" w:eastAsia="Public Sans"/>
          <w:b w:val="0"/>
          <w:i w:val="0"/>
          <w:color w:val="222222"/>
          <w:sz w:val="24"/>
        </w:rPr>
        <w:t xml:space="preserve">Mức lương của Bà TRƯƠNG NGỌC ÁNH, Tổng giám đốc CÔNG TY TNHH DS CORPORATION, kể từ ngày 01/09/2026 như sau:</w:t>
      </w:r>
    </w:p>
    <w:p>
      <w:pPr>
        <w:spacing w:before="0" w:after="80" w:line="276" w:lineRule="auto"/>
        <w:jc w:val="left"/>
      </w:pPr>
      <w:r>
        <w:rPr>
          <w:rFonts w:ascii="Public Sans" w:hAnsi="Public Sans" w:eastAsia="Public Sans"/>
          <w:b w:val="0"/>
          <w:i w:val="0"/>
          <w:color w:val="222222"/>
          <w:sz w:val="24"/>
        </w:rPr>
        <w:t xml:space="preserve">Mức lương: 10.000.000 đồng/tháng (Bằng chữ: Mười triệu đồng chẵn).</w:t>
      </w:r>
    </w:p>
    <w:p>
      <w:pPr>
        <w:spacing w:before="0" w:after="80" w:line="276" w:lineRule="auto"/>
        <w:jc w:val="left"/>
      </w:pPr>
      <w:r>
        <w:rPr>
          <w:rFonts w:ascii="Public Sans" w:hAnsi="Public Sans" w:eastAsia="Public Sans"/>
          <w:b w:val="0"/>
          <w:i w:val="0"/>
          <w:color w:val="222222"/>
          <w:sz w:val="24"/>
        </w:rPr>
        <w:t xml:space="preserve">Mức lương nêu trên đã bao gồm toàn bộ phụ cấp lương và các khoản bổ sung khác, là tiền lương làm căn cứ đóng bảo hiểm xã hội, bảo hiểm y tế, bảo hiểm thất nghiệp, bảo hiểm tai nạn lao động, bệnh nghề nghiệp.</w:t>
      </w:r>
    </w:p>
    <w:p>
      <w:pPr>
        <w:keepNext/>
        <w:spacing w:before="140" w:after="80" w:line="276" w:lineRule="auto"/>
        <w:jc w:val="left"/>
      </w:pPr>
      <w:r>
        <w:rPr>
          <w:rFonts w:ascii="Public Sans" w:hAnsi="Public Sans" w:eastAsia="Public Sans"/>
          <w:b/>
          <w:i w:val="0"/>
          <w:color w:val="222222"/>
          <w:sz w:val="24"/>
        </w:rPr>
        <w:t xml:space="preserve">Điều 2. Hợp đồng lao động và chế độ</w:t>
      </w:r>
    </w:p>
    <w:p>
      <w:pPr>
        <w:spacing w:before="0" w:after="80" w:line="276" w:lineRule="auto"/>
        <w:jc w:val="left"/>
      </w:pPr>
      <w:r>
        <w:rPr>
          <w:rFonts w:ascii="Public Sans" w:hAnsi="Public Sans" w:eastAsia="Public Sans"/>
          <w:b w:val="0"/>
          <w:i w:val="0"/>
          <w:color w:val="222222"/>
          <w:sz w:val="24"/>
        </w:rPr>
        <w:t xml:space="preserve">Giao Ông Nguyễn Duy Quang, Chủ tịch Hội đồng thành viên, người đại diện theo pháp luật của Công ty, ký Hợp đồng lao động với Bà Trương Ngọc Ánh theo mức lương tại Điều 1.</w:t>
      </w:r>
    </w:p>
    <w:p>
      <w:pPr>
        <w:spacing w:before="0" w:after="80" w:line="276" w:lineRule="auto"/>
        <w:jc w:val="left"/>
      </w:pPr>
      <w:r>
        <w:rPr>
          <w:rFonts w:ascii="Public Sans" w:hAnsi="Public Sans" w:eastAsia="Public Sans"/>
          <w:b w:val="0"/>
          <w:i w:val="0"/>
          <w:color w:val="222222"/>
          <w:sz w:val="24"/>
        </w:rPr>
        <w:t xml:space="preserve">Thưởng, phúc lợi và các chế độ khác thực hiện theo Hợp đồng lao động, quy chế của Công ty và quy định pháp luật.</w:t>
      </w:r>
    </w:p>
    <w:p>
      <w:pPr>
        <w:keepNext/>
        <w:spacing w:before="140" w:after="80" w:line="276" w:lineRule="auto"/>
        <w:jc w:val="left"/>
      </w:pPr>
      <w:r>
        <w:rPr>
          <w:rFonts w:ascii="Public Sans" w:hAnsi="Public Sans" w:eastAsia="Public Sans"/>
          <w:b/>
          <w:i w:val="0"/>
          <w:color w:val="222222"/>
          <w:sz w:val="24"/>
        </w:rPr>
        <w:t xml:space="preserve">Điều 3. Tổ chức thực hiện</w:t>
      </w:r>
    </w:p>
    <w:p>
      <w:pPr>
        <w:spacing w:before="0" w:after="80" w:line="276" w:lineRule="auto"/>
        <w:jc w:val="left"/>
      </w:pPr>
      <w:r>
        <w:rPr>
          <w:rFonts w:ascii="Public Sans" w:hAnsi="Public Sans" w:eastAsia="Public Sans"/>
          <w:b w:val="0"/>
          <w:i w:val="0"/>
          <w:color w:val="222222"/>
          <w:sz w:val="24"/>
        </w:rPr>
        <w:t xml:space="preserve">Ông Nguyễn Duy Quang, Bà Trương Ngọc Ánh và các cá nhân, bộ phận liên quan chịu trách nhiệm thi hành Nghị quyết/Quyết định này.</w:t>
      </w:r>
    </w:p>
    <w:p>
      <w:pPr>
        <w:keepNext/>
        <w:spacing w:before="140" w:after="80" w:line="276" w:lineRule="auto"/>
        <w:jc w:val="left"/>
      </w:pPr>
      <w:r>
        <w:rPr>
          <w:rFonts w:ascii="Public Sans" w:hAnsi="Public Sans" w:eastAsia="Public Sans"/>
          <w:b/>
          <w:i w:val="0"/>
          <w:color w:val="222222"/>
          <w:sz w:val="24"/>
        </w:rPr>
        <w:t xml:space="preserve">Điều 4. Hiệu lực</w:t>
      </w:r>
    </w:p>
    <w:p>
      <w:pPr>
        <w:keepNext/>
        <w:spacing w:before="0" w:after="200" w:line="276" w:lineRule="auto"/>
        <w:jc w:val="left"/>
      </w:pPr>
      <w:r>
        <w:rPr>
          <w:rFonts w:ascii="Public Sans" w:hAnsi="Public Sans" w:eastAsia="Public Sans"/>
          <w:b w:val="0"/>
          <w:i w:val="0"/>
          <w:color w:val="222222"/>
          <w:sz w:val="24"/>
        </w:rPr>
        <w:t xml:space="preserve">Nghị quyết/Quyết định này có hiệu lực kể từ ngày 01/09/2026.</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680"/>
          </w:tcPr>
          <w:p>
            <w:pPr>
              <w:jc w:val="left"/>
            </w:pPr>
            <w:r>
              <w:rPr>
                <w:rFonts w:ascii="Public Sans" w:hAnsi="Public Sans" w:eastAsia="Public Sans"/>
                <w:b/>
                <w:i w:val="0"/>
                <w:color w:val="222222"/>
                <w:sz w:val="22"/>
              </w:rPr>
              <w:t xml:space="preserve">Nơi nhận</w:t>
            </w:r>
          </w:p>
          <w:p>
            <w:pPr>
              <w:jc w:val="left"/>
            </w:pPr>
            <w:r>
              <w:rPr>
                <w:rFonts w:ascii="Public Sans" w:hAnsi="Public Sans" w:eastAsia="Public Sans"/>
                <w:b w:val="0"/>
                <w:i w:val="0"/>
                <w:color w:val="222222"/>
                <w:sz w:val="21"/>
              </w:rPr>
              <w:t xml:space="preserve">• Như Điều 3.</w:t>
            </w:r>
          </w:p>
          <w:p>
            <w:pPr>
              <w:jc w:val="left"/>
            </w:pPr>
            <w:r>
              <w:rPr>
                <w:rFonts w:ascii="Public Sans" w:hAnsi="Public Sans" w:eastAsia="Public Sans"/>
                <w:b w:val="0"/>
                <w:i w:val="0"/>
                <w:color w:val="222222"/>
                <w:sz w:val="21"/>
              </w:rPr>
              <w:t xml:space="preserve">• Lưu hồ sơ công ty.</w:t>
            </w:r>
          </w:p>
          <w:p/>
          <w:p/>
          <w:p/>
          <w:p/>
          <w:p/>
          <w:p/>
        </w:tc>
        <w:tc>
          <w:tcPr>
            <w:tcW w:type="dxa" w:w="4680"/>
          </w:tcPr>
          <w:p>
            <w:pPr>
              <w:jc w:val="center"/>
            </w:pPr>
            <w:r>
              <w:rPr>
                <w:rFonts w:ascii="Public Sans" w:hAnsi="Public Sans" w:eastAsia="Public Sans"/>
                <w:b/>
                <w:i w:val="0"/>
                <w:color w:val="222222"/>
                <w:sz w:val="22"/>
              </w:rPr>
              <w:t xml:space="preserve">TM. HỘI ĐỒNG THÀNH VIÊN</w:t>
            </w:r>
          </w:p>
          <w:p>
            <w:pPr>
              <w:jc w:val="center"/>
            </w:pPr>
            <w:r>
              <w:rPr>
                <w:rFonts w:ascii="Public Sans" w:hAnsi="Public Sans" w:eastAsia="Public Sans"/>
                <w:b/>
                <w:i w:val="0"/>
                <w:color w:val="222222"/>
                <w:sz w:val="22"/>
              </w:rPr>
              <w:t xml:space="preserve">CHỦ TỊCH</w:t>
            </w:r>
          </w:p>
          <w:p>
            <w:pPr>
              <w:jc w:val="center"/>
            </w:pPr>
            <w:r>
              <w:rPr>
                <w:rFonts w:ascii="Public Sans" w:hAnsi="Public Sans" w:eastAsia="Public Sans"/>
                <w:b w:val="0"/>
                <w:i/>
                <w:color w:val="626262"/>
                <w:sz w:val="20"/>
              </w:rPr>
              <w:t xml:space="preserve">(Nguyễn Duy Quang)</w:t>
            </w:r>
          </w:p>
          <w:p/>
          <w:p/>
          <w:p/>
          <w:p/>
          <w:p/>
          <w:p/>
        </w:tc>
      </w:tr>
    </w:tbl>
    <w:sectPr w:rsidR="00FC693F" w:rsidRPr="0006063C" w:rsidSect="00034616">
      <w:headerReference w:type="default" r:id="rId9"/>
      <w:footerReference w:type="default" r:id="rId10"/>
      <w:pgSz w:w="12240" w:h="15840"/>
      <w:pgMar w:top="1440" w:right="1440" w:bottom="1440" w:left="144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pBdr>
        <w:top w:val="single" w:sz="8" w:space="1" w:color="000000"/>
      </w:pBdr>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3120"/>
        </w:tcPr>
        <w:p>
          <w:pPr>
            <w:jc w:val="left"/>
          </w:pPr>
          <w:r/>
          <w:r>
            <w:rPr>
              <w:rFonts w:ascii="Public Sans" w:hAnsi="Public Sans" w:eastAsia="Public Sans"/>
              <w:b/>
              <w:color w:val="000000"/>
              <w:sz w:val="17"/>
            </w:rPr>
            <w:t>DS Corporation</w:t>
          </w:r>
        </w:p>
      </w:tc>
      <w:tc>
        <w:tcPr>
          <w:tcW w:type="dxa" w:w="3120"/>
        </w:tcPr>
        <w:p>
          <w:pPr>
            <w:jc w:val="center"/>
          </w:pPr>
          <w:r/>
          <w:r>
            <w:rPr>
              <w:rFonts w:ascii="Public Sans" w:hAnsi="Public Sans" w:eastAsia="Public Sans"/>
              <w:color w:val="000000"/>
              <w:sz w:val="16"/>
            </w:rPr>
            <w:t>Nghị quyết mức lương Tổng giám đốc</w:t>
          </w:r>
        </w:p>
      </w:tc>
      <w:tc>
        <w:tcPr>
          <w:tcW w:type="dxa" w:w="3120"/>
        </w:tcPr>
        <w:p>
          <w:pPr>
            <w:jc w:val="right"/>
          </w:pPr>
          <w:r/>
          <w:r>
            <w:rPr>
              <w:rFonts w:ascii="Public Sans" w:hAnsi="Public Sans" w:eastAsia="Public Sans"/>
              <w:color w:val="626262"/>
              <w:sz w:val="18"/>
            </w:rPr>
            <w:t xml:space="preserve">Page </w:t>
          </w:r>
          <w:r>
            <w:rPr>
              <w:rFonts w:ascii="Public Sans" w:hAnsi="Public Sans" w:eastAsia="Public Sans"/>
              <w:color w:val="626262"/>
              <w:sz w:val="18"/>
            </w:rPr>
            <w:fldChar w:fldCharType="begin"/>
            <w:instrText xml:space="preserve"> PAGE </w:instrText>
            <w:fldChar w:fldCharType="end"/>
          </w:r>
          <w:r>
            <w:rPr>
              <w:rFonts w:ascii="Public Sans" w:hAnsi="Public Sans" w:eastAsia="Public Sans"/>
              <w:color w:val="626262"/>
              <w:sz w:val="18"/>
            </w:rPr>
            <w:t xml:space="preserve"> / </w:t>
          </w:r>
          <w:r>
            <w:rPr>
              <w:rFonts w:ascii="Public Sans" w:hAnsi="Public Sans" w:eastAsia="Public Sans"/>
              <w:color w:val="626262"/>
              <w:sz w:val="18"/>
            </w:rPr>
            <w:fldChar w:fldCharType="begin"/>
            <w:instrText xml:space="preserve"> NUMPAGES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tcPr>
        <w:p>
          <w:pPr>
            <w:spacing w:after="0" w:line="240" w:lineRule="auto"/>
            <w:jc w:val="left"/>
          </w:pPr>
          <w:r>
            <w:rPr>
              <w:rFonts w:ascii="Public Sans" w:hAnsi="Public Sans" w:eastAsia="Public Sans"/>
              <w:b/>
              <w:color w:val="000000"/>
              <w:sz w:val="33"/>
            </w:rPr>
            <w:t>DS Corporation</w:t>
          </w:r>
        </w:p>
        <w:p>
          <w:pPr>
            <w:spacing w:before="0" w:after="0" w:line="240" w:lineRule="auto"/>
            <w:jc w:val="left"/>
          </w:pPr>
          <w:r>
            <w:rPr>
              <w:rFonts w:ascii="Public Sans" w:hAnsi="Public Sans" w:eastAsia="Public Sans"/>
              <w:color w:val="000000"/>
              <w:sz w:val="18"/>
            </w:rPr>
            <w:t>CÔNG TY TNHH DS CORPORATION</w:t>
          </w:r>
        </w:p>
      </w:tc>
      <w:tc>
        <w:tcPr>
          <w:tcW w:type="dxa" w:w="4680"/>
        </w:tcPr>
        <w:p>
          <w:pPr>
            <w:spacing w:after="0" w:line="240" w:lineRule="auto"/>
            <w:jc w:val="right"/>
          </w:pPr>
          <w:r>
            <w:rPr>
              <w:rFonts w:ascii="Public Sans" w:hAnsi="Public Sans" w:eastAsia="Public Sans"/>
              <w:b/>
              <w:color w:val="000000"/>
              <w:sz w:val="17"/>
            </w:rPr>
            <w:t>Mã số doanh nghiệp: 0111537512</w:t>
          </w:r>
        </w:p>
        <w:p>
          <w:pPr>
            <w:spacing w:before="0" w:after="0" w:line="240" w:lineRule="auto"/>
            <w:jc w:val="right"/>
          </w:pPr>
          <w:r>
            <w:rPr>
              <w:rFonts w:ascii="Public Sans" w:hAnsi="Public Sans" w:eastAsia="Public Sans"/>
              <w:color w:val="000000"/>
              <w:sz w:val="17"/>
            </w:rPr>
            <w:t>Tầng 4, Tòa nhà Sannam, số 78 phố Duy Tân, Phường Cầu Giấy, Thành phố Hà Nội, Việt Nam</w:t>
          </w:r>
        </w:p>
        <w:p>
          <w:pPr>
            <w:spacing w:before="0" w:after="0" w:line="240" w:lineRule="auto"/>
            <w:jc w:val="right"/>
          </w:pPr>
          <w:r>
            <w:rPr>
              <w:rFonts w:ascii="Public Sans" w:hAnsi="Public Sans" w:eastAsia="Public Sans"/>
              <w:color w:val="000000"/>
              <w:sz w:val="17"/>
            </w:rPr>
            <w:t>dsgroup.info26@gmail.com  |  0912.789.788</w:t>
          </w:r>
        </w:p>
      </w:tc>
    </w:tr>
  </w:tbl>
  <w:p>
    <w:pPr>
      <w:spacing w:before="100" w:after="200"/>
      <w:pBdr>
        <w:bottom w:val="single" w:sz="8" w:space="1" w:color="00000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ublic Sans" w:hAnsi="Public Sans" w:eastAsia="Public Sans"/>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