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Public Sans" w:hAnsi="Public Sans" w:eastAsia="Public Sans"/>
          <w:b w:val="0"/>
          <w:i w:val="0"/>
          <w:color w:val="000000"/>
          <w:sz w:val="36"/>
        </w:rPr>
        <w:t xml:space="preserve">HỢP ĐỒNG LAO ĐỘNG</w:t>
      </w:r>
    </w:p>
    <w:p>
      <w:pPr>
        <w:spacing w:before="0" w:after="160" w:line="276" w:lineRule="auto"/>
        <w:jc w:val="center"/>
      </w:pPr>
      <w:r>
        <w:rPr>
          <w:rFonts w:ascii="Public Sans" w:hAnsi="Public Sans" w:eastAsia="Public Sans"/>
          <w:b w:val="0"/>
          <w:i/>
          <w:color w:val="000000"/>
          <w:sz w:val="22"/>
        </w:rPr>
        <w:t xml:space="preserve">Hợp đồng lao động xác định thời hạn – Vị trí Tổng giám đốc</w:t>
      </w:r>
    </w:p>
    <w:p>
      <w:pPr>
        <w:spacing w:before="0" w:after="240" w:line="240" w:lineRule="auto"/>
        <w:jc w:val="center"/>
      </w:pPr>
      <w:r>
        <w:rPr>
          <w:rFonts w:ascii="Public Sans" w:hAnsi="Public Sans" w:eastAsia="Public Sans"/>
          <w:b w:val="0"/>
          <w:i w:val="0"/>
          <w:color w:val="000000"/>
          <w:sz w:val="20"/>
        </w:rPr>
        <w:t xml:space="preserve">Số: 08/2026/HĐLĐ-DS   |   Ngày: 01/09/2026</w:t>
      </w:r>
    </w:p>
    <w:p>
      <w:pPr>
        <w:spacing w:before="0" w:after="80" w:line="276" w:lineRule="auto"/>
        <w:jc w:val="left"/>
      </w:pPr>
      <w:r>
        <w:rPr>
          <w:rFonts w:ascii="Public Sans" w:hAnsi="Public Sans" w:eastAsia="Public Sans"/>
          <w:b w:val="0"/>
          <w:i w:val="0"/>
          <w:color w:val="222222"/>
          <w:sz w:val="24"/>
        </w:rPr>
        <w:t xml:space="preserve">Căn cứ Bộ luật Lao động hiện hành;</w:t>
      </w:r>
    </w:p>
    <w:p>
      <w:pPr>
        <w:spacing w:before="0" w:after="80" w:line="276" w:lineRule="auto"/>
        <w:jc w:val="left"/>
      </w:pPr>
      <w:r>
        <w:rPr>
          <w:rFonts w:ascii="Public Sans" w:hAnsi="Public Sans" w:eastAsia="Public Sans"/>
          <w:b w:val="0"/>
          <w:i w:val="0"/>
          <w:color w:val="222222"/>
          <w:sz w:val="24"/>
        </w:rPr>
        <w:t xml:space="preserve">Căn cứ Điều lệ CÔNG TY TNHH DS CORPORATION;</w:t>
      </w:r>
    </w:p>
    <w:p>
      <w:pPr>
        <w:spacing w:before="0" w:after="80" w:line="276" w:lineRule="auto"/>
        <w:jc w:val="left"/>
      </w:pPr>
      <w:r>
        <w:rPr>
          <w:rFonts w:ascii="Public Sans" w:hAnsi="Public Sans" w:eastAsia="Public Sans"/>
          <w:b w:val="0"/>
          <w:i w:val="0"/>
          <w:color w:val="222222"/>
          <w:sz w:val="24"/>
        </w:rPr>
        <w:t xml:space="preserve">Căn cứ Nghị quyết/Quyết định của Hội đồng thành viên số 02/2026/NQ-HĐTV ngày 18/06/2026 về việc bổ nhiệm Tổng giám đốc;</w:t>
      </w:r>
    </w:p>
    <w:p>
      <w:pPr>
        <w:spacing w:before="0" w:after="160" w:line="276" w:lineRule="auto"/>
        <w:jc w:val="left"/>
      </w:pPr>
      <w:r>
        <w:rPr>
          <w:rFonts w:ascii="Public Sans" w:hAnsi="Public Sans" w:eastAsia="Public Sans"/>
          <w:b w:val="0"/>
          <w:i w:val="0"/>
          <w:color w:val="222222"/>
          <w:sz w:val="24"/>
        </w:rPr>
        <w:t xml:space="preserve">Căn cứ Nghị quyết/Quyết định của Hội đồng thành viên số 07/2026/NQ-HĐTV ngày 01/09/2026 về việc mức lương và chế độ của Tổng giám đốc;</w:t>
      </w:r>
    </w:p>
    <w:p>
      <w:pPr>
        <w:spacing w:before="0" w:after="80" w:line="276" w:lineRule="auto"/>
        <w:jc w:val="left"/>
      </w:pPr>
      <w:r>
        <w:rPr>
          <w:rFonts w:ascii="Public Sans" w:hAnsi="Public Sans" w:eastAsia="Public Sans"/>
          <w:b w:val="0"/>
          <w:i w:val="0"/>
          <w:color w:val="222222"/>
          <w:sz w:val="24"/>
        </w:rPr>
        <w:t xml:space="preserve">Hôm nay, ngày 01/09/2026, tại trụ sở CÔNG TY TNHH DS CORPORATION, chúng tôi gồm:</w:t>
      </w:r>
    </w:p>
    <w:p>
      <w:pPr>
        <w:keepNext/>
        <w:spacing w:before="140" w:after="80" w:line="276" w:lineRule="auto"/>
        <w:jc w:val="left"/>
      </w:pPr>
      <w:r>
        <w:rPr>
          <w:rFonts w:ascii="Public Sans" w:hAnsi="Public Sans" w:eastAsia="Public Sans"/>
          <w:b/>
          <w:i w:val="0"/>
          <w:color w:val="222222"/>
          <w:sz w:val="24"/>
        </w:rPr>
        <w:t xml:space="preserve">1. Người sử dụng lao động</w:t>
      </w:r>
    </w:p>
    <w:p>
      <w:pPr>
        <w:spacing w:before="0" w:after="20" w:line="276" w:lineRule="auto"/>
        <w:jc w:val="left"/>
      </w:pPr>
      <w:r>
        <w:rPr>
          <w:rFonts w:ascii="Public Sans" w:hAnsi="Public Sans" w:eastAsia="Public Sans"/>
          <w:b/>
          <w:i w:val="0"/>
          <w:color w:val="222222"/>
          <w:sz w:val="24"/>
        </w:rPr>
        <w:t xml:space="preserve">CÔNG TY TNHH DS CORPORATION</w:t>
      </w:r>
    </w:p>
    <w:p>
      <w:pPr>
        <w:spacing w:before="0" w:after="20" w:line="276" w:lineRule="auto"/>
        <w:jc w:val="left"/>
      </w:pPr>
      <w:r>
        <w:rPr>
          <w:rFonts w:ascii="Public Sans" w:hAnsi="Public Sans" w:eastAsia="Public Sans"/>
          <w:b w:val="0"/>
          <w:i w:val="0"/>
          <w:color w:val="222222"/>
          <w:sz w:val="24"/>
        </w:rPr>
        <w:t xml:space="preserve">Mã số doanh nghiệp: 0111537512</w:t>
      </w:r>
    </w:p>
    <w:p>
      <w:pPr>
        <w:spacing w:before="0" w:after="20" w:line="276" w:lineRule="auto"/>
        <w:jc w:val="left"/>
      </w:pPr>
      <w:r>
        <w:rPr>
          <w:rFonts w:ascii="Public Sans" w:hAnsi="Public Sans" w:eastAsia="Public Sans"/>
          <w:b w:val="0"/>
          <w:i w:val="0"/>
          <w:color w:val="222222"/>
          <w:sz w:val="24"/>
        </w:rPr>
        <w:t xml:space="preserve">Địa chỉ trụ sở: Tầng 4, Tòa nhà Sannam, số 78 phố Duy Tân, Phường Cầu Giấy, Thành phố Hà Nội, Việt Nam</w:t>
      </w:r>
    </w:p>
    <w:p>
      <w:pPr>
        <w:spacing w:before="0" w:after="20" w:line="276" w:lineRule="auto"/>
        <w:jc w:val="left"/>
      </w:pPr>
      <w:r>
        <w:rPr>
          <w:rFonts w:ascii="Public Sans" w:hAnsi="Public Sans" w:eastAsia="Public Sans"/>
          <w:b w:val="0"/>
          <w:i w:val="0"/>
          <w:color w:val="222222"/>
          <w:sz w:val="24"/>
        </w:rPr>
        <w:t xml:space="preserve">Điện thoại: 0912.789.788</w:t>
      </w:r>
    </w:p>
    <w:p>
      <w:pPr>
        <w:spacing w:before="0" w:after="20" w:line="276" w:lineRule="auto"/>
        <w:jc w:val="left"/>
      </w:pPr>
      <w:r>
        <w:rPr>
          <w:rFonts w:ascii="Public Sans" w:hAnsi="Public Sans" w:eastAsia="Public Sans"/>
          <w:b w:val="0"/>
          <w:i w:val="0"/>
          <w:color w:val="222222"/>
          <w:sz w:val="24"/>
        </w:rPr>
        <w:t xml:space="preserve">Đại diện bởi: NGUYỄN DUY QUANG | Quốc tịch: Việt Nam</w:t>
      </w:r>
    </w:p>
    <w:p>
      <w:pPr>
        <w:spacing w:before="0" w:after="20" w:line="276" w:lineRule="auto"/>
        <w:jc w:val="left"/>
      </w:pPr>
      <w:r>
        <w:rPr>
          <w:rFonts w:ascii="Public Sans" w:hAnsi="Public Sans" w:eastAsia="Public Sans"/>
          <w:b w:val="0"/>
          <w:i w:val="0"/>
          <w:color w:val="222222"/>
          <w:sz w:val="24"/>
        </w:rPr>
        <w:t xml:space="preserve">Chức vụ: Chủ tịch Hội đồng thành viên – Người đại diện theo pháp luật</w:t>
      </w:r>
    </w:p>
    <w:p>
      <w:pPr>
        <w:spacing w:before="0" w:after="80" w:line="276" w:lineRule="auto"/>
        <w:jc w:val="left"/>
      </w:pPr>
      <w:r>
        <w:rPr>
          <w:rFonts w:ascii="Public Sans" w:hAnsi="Public Sans" w:eastAsia="Public Sans"/>
          <w:b w:val="0"/>
          <w:i/>
          <w:color w:val="222222"/>
          <w:sz w:val="24"/>
        </w:rPr>
        <w:t xml:space="preserve">(Sau đây gọi là "Người sử dụng lao động" hoặc "Công ty")</w:t>
      </w:r>
    </w:p>
    <w:p>
      <w:pPr>
        <w:keepNext/>
        <w:spacing w:before="140" w:after="80" w:line="276" w:lineRule="auto"/>
        <w:jc w:val="left"/>
      </w:pPr>
      <w:r>
        <w:rPr>
          <w:rFonts w:ascii="Public Sans" w:hAnsi="Public Sans" w:eastAsia="Public Sans"/>
          <w:b/>
          <w:i w:val="0"/>
          <w:color w:val="222222"/>
          <w:sz w:val="24"/>
        </w:rPr>
        <w:t xml:space="preserve">2. Người lao động</w:t>
      </w:r>
    </w:p>
    <w:p>
      <w:pPr>
        <w:spacing w:before="0" w:after="20" w:line="276" w:lineRule="auto"/>
        <w:jc w:val="left"/>
      </w:pPr>
      <w:r>
        <w:rPr>
          <w:rFonts w:ascii="Public Sans" w:hAnsi="Public Sans" w:eastAsia="Public Sans"/>
          <w:b/>
          <w:i w:val="0"/>
          <w:color w:val="222222"/>
          <w:sz w:val="24"/>
        </w:rPr>
        <w:t xml:space="preserve">TRƯƠNG NGỌC ÁNH</w:t>
      </w:r>
    </w:p>
    <w:p>
      <w:pPr>
        <w:spacing w:before="0" w:after="20" w:line="276" w:lineRule="auto"/>
        <w:jc w:val="left"/>
      </w:pPr>
      <w:r>
        <w:rPr>
          <w:rFonts w:ascii="Public Sans" w:hAnsi="Public Sans" w:eastAsia="Public Sans"/>
          <w:b w:val="0"/>
          <w:i w:val="0"/>
          <w:color w:val="222222"/>
          <w:sz w:val="24"/>
        </w:rPr>
        <w:t xml:space="preserve">Giới tính: Nữ | Quốc tịch: Việt Nam</w:t>
      </w:r>
    </w:p>
    <w:p>
      <w:pPr>
        <w:spacing w:before="0" w:after="20" w:line="276" w:lineRule="auto"/>
        <w:jc w:val="left"/>
      </w:pPr>
      <w:r>
        <w:rPr>
          <w:rFonts w:ascii="Public Sans" w:hAnsi="Public Sans" w:eastAsia="Public Sans"/>
          <w:b w:val="0"/>
          <w:i w:val="0"/>
          <w:color w:val="222222"/>
          <w:sz w:val="24"/>
        </w:rPr>
        <w:t xml:space="preserve">Ngày sinh: </w:t>
      </w:r>
      <w:r>
        <w:rPr>
          <w:rFonts w:ascii="Public Sans" w:hAnsi="Public Sans" w:eastAsia="Public Sans"/>
          <w:b w:val="0"/>
          <w:i w:val="0"/>
          <w:color w:val="222222"/>
          <w:sz w:val="24"/>
          <w:highlight w:val="yellow"/>
        </w:rPr>
        <w:t xml:space="preserve">....../....../2000</w:t>
      </w:r>
    </w:p>
    <w:p>
      <w:pPr>
        <w:spacing w:before="0" w:after="20" w:line="276" w:lineRule="auto"/>
        <w:jc w:val="left"/>
      </w:pPr>
      <w:r>
        <w:rPr>
          <w:rFonts w:ascii="Public Sans" w:hAnsi="Public Sans" w:eastAsia="Public Sans"/>
          <w:b w:val="0"/>
          <w:i w:val="0"/>
          <w:color w:val="222222"/>
          <w:sz w:val="24"/>
        </w:rPr>
        <w:t xml:space="preserve">Số CCCD: 038300012306 | Ngày cấp: </w:t>
      </w:r>
      <w:r>
        <w:rPr>
          <w:rFonts w:ascii="Public Sans" w:hAnsi="Public Sans" w:eastAsia="Public Sans"/>
          <w:b w:val="0"/>
          <w:i w:val="0"/>
          <w:color w:val="222222"/>
          <w:sz w:val="24"/>
          <w:highlight w:val="yellow"/>
        </w:rPr>
        <w:t xml:space="preserve">....../....../......</w:t>
      </w:r>
      <w:r>
        <w:rPr>
          <w:rFonts w:ascii="Public Sans" w:hAnsi="Public Sans" w:eastAsia="Public Sans"/>
          <w:b w:val="0"/>
          <w:i w:val="0"/>
          <w:color w:val="222222"/>
          <w:sz w:val="24"/>
        </w:rPr>
        <w:t xml:space="preserve"> | Nơi cấp: </w:t>
      </w:r>
      <w:r>
        <w:rPr>
          <w:rFonts w:ascii="Public Sans" w:hAnsi="Public Sans" w:eastAsia="Public Sans"/>
          <w:b w:val="0"/>
          <w:i w:val="0"/>
          <w:color w:val="222222"/>
          <w:sz w:val="24"/>
          <w:highlight w:val="yellow"/>
        </w:rPr>
        <w:t xml:space="preserve">....................</w:t>
      </w:r>
    </w:p>
    <w:p>
      <w:pPr>
        <w:spacing w:before="0" w:after="20" w:line="276" w:lineRule="auto"/>
        <w:jc w:val="left"/>
      </w:pPr>
      <w:r>
        <w:rPr>
          <w:rFonts w:ascii="Public Sans" w:hAnsi="Public Sans" w:eastAsia="Public Sans"/>
          <w:b w:val="0"/>
          <w:i w:val="0"/>
          <w:color w:val="222222"/>
          <w:sz w:val="24"/>
        </w:rPr>
        <w:t xml:space="preserve">Nơi cư trú: TDP Thanh Bình, Phường Ngọc Sơn, Tỉnh Thanh Hóa, Việt Nam</w:t>
      </w:r>
    </w:p>
    <w:p>
      <w:pPr>
        <w:spacing w:before="0" w:after="80" w:line="276" w:lineRule="auto"/>
        <w:jc w:val="left"/>
      </w:pPr>
      <w:r>
        <w:rPr>
          <w:rFonts w:ascii="Public Sans" w:hAnsi="Public Sans" w:eastAsia="Public Sans"/>
          <w:b w:val="0"/>
          <w:i/>
          <w:color w:val="222222"/>
          <w:sz w:val="24"/>
        </w:rPr>
        <w:t xml:space="preserve">(Sau đây gọi là "Người lao động")</w:t>
      </w:r>
    </w:p>
    <w:p>
      <w:pPr>
        <w:spacing w:before="0" w:after="80" w:line="276" w:lineRule="auto"/>
        <w:jc w:val="left"/>
      </w:pPr>
      <w:r>
        <w:rPr>
          <w:rFonts w:ascii="Public Sans" w:hAnsi="Public Sans" w:eastAsia="Public Sans"/>
          <w:b w:val="0"/>
          <w:i w:val="0"/>
          <w:color w:val="222222"/>
          <w:sz w:val="24"/>
        </w:rPr>
        <w:t xml:space="preserve">Hai bên thỏa thuận ký kết hợp đồng lao động và cam kết thực hiện đúng các điều khoản sau đây:</w:t>
      </w:r>
    </w:p>
    <w:p>
      <w:pPr>
        <w:keepNext/>
        <w:spacing w:before="140" w:after="80" w:line="276" w:lineRule="auto"/>
        <w:jc w:val="left"/>
      </w:pPr>
      <w:r>
        <w:rPr>
          <w:rFonts w:ascii="Public Sans" w:hAnsi="Public Sans" w:eastAsia="Public Sans"/>
          <w:b/>
          <w:i w:val="0"/>
          <w:color w:val="222222"/>
          <w:sz w:val="24"/>
        </w:rPr>
        <w:t xml:space="preserve">Điều 1. Thời hạn và công việc</w:t>
      </w:r>
    </w:p>
    <w:p>
      <w:pPr>
        <w:spacing w:before="0" w:after="80" w:line="276" w:lineRule="auto"/>
        <w:jc w:val="left"/>
      </w:pPr>
      <w:r>
        <w:rPr>
          <w:rFonts w:ascii="Public Sans" w:hAnsi="Public Sans" w:eastAsia="Public Sans"/>
          <w:b w:val="0"/>
          <w:i w:val="0"/>
          <w:color w:val="222222"/>
          <w:sz w:val="24"/>
        </w:rPr>
        <w:t xml:space="preserve">Loại hợp đồng: Hợp đồng lao động xác định thời hạn 36 tháng, từ ngày 01/09/2026 đến hết ngày 31/08/2029.</w:t>
      </w:r>
    </w:p>
    <w:p>
      <w:pPr>
        <w:spacing w:before="0" w:after="80" w:line="276" w:lineRule="auto"/>
        <w:jc w:val="left"/>
      </w:pPr>
      <w:r>
        <w:rPr>
          <w:rFonts w:ascii="Public Sans" w:hAnsi="Public Sans" w:eastAsia="Public Sans"/>
          <w:b w:val="0"/>
          <w:i w:val="0"/>
          <w:color w:val="222222"/>
          <w:sz w:val="24"/>
        </w:rPr>
        <w:t xml:space="preserve">Vị trí công việc: Tổng giám đốc – Ban Tổng giám đốc.</w:t>
      </w:r>
    </w:p>
    <w:p>
      <w:pPr>
        <w:spacing w:before="0" w:after="80" w:line="276" w:lineRule="auto"/>
        <w:jc w:val="left"/>
      </w:pPr>
      <w:r>
        <w:rPr>
          <w:rFonts w:ascii="Public Sans" w:hAnsi="Public Sans" w:eastAsia="Public Sans"/>
          <w:b w:val="0"/>
          <w:i w:val="0"/>
          <w:color w:val="222222"/>
          <w:sz w:val="24"/>
        </w:rPr>
        <w:t xml:space="preserve">Công việc: Tổ chức điều hành hoạt động kinh doanh hằng ngày của Công ty theo Điều lệ, các nghị quyết của Hội đồng thành viên, phạm vi ủy quyền được giao và mô tả công việc của Công ty.</w:t>
      </w:r>
    </w:p>
    <w:p>
      <w:pPr>
        <w:spacing w:before="0" w:after="80" w:line="276" w:lineRule="auto"/>
        <w:jc w:val="left"/>
      </w:pPr>
      <w:r>
        <w:rPr>
          <w:rFonts w:ascii="Public Sans" w:hAnsi="Public Sans" w:eastAsia="Public Sans"/>
          <w:b w:val="0"/>
          <w:i w:val="0"/>
          <w:color w:val="222222"/>
          <w:sz w:val="24"/>
        </w:rPr>
        <w:t xml:space="preserve">Địa điểm làm việc: Trụ sở Công ty và các địa điểm do Công ty tổ chức, vận hành hoặc chỉ định. Người lao động có thể đi công tác theo yêu cầu công việc.</w:t>
      </w:r>
    </w:p>
    <w:p>
      <w:pPr>
        <w:keepNext/>
        <w:spacing w:before="140" w:after="80" w:line="276" w:lineRule="auto"/>
        <w:jc w:val="left"/>
      </w:pPr>
      <w:r>
        <w:rPr>
          <w:rFonts w:ascii="Public Sans" w:hAnsi="Public Sans" w:eastAsia="Public Sans"/>
          <w:b/>
          <w:i w:val="0"/>
          <w:color w:val="222222"/>
          <w:sz w:val="24"/>
        </w:rPr>
        <w:t xml:space="preserve">Điều 2. Thời giờ làm việc, thời giờ nghỉ ngơi</w:t>
      </w:r>
    </w:p>
    <w:p>
      <w:pPr>
        <w:spacing w:before="0" w:after="80" w:line="276" w:lineRule="auto"/>
        <w:jc w:val="left"/>
      </w:pPr>
      <w:r>
        <w:rPr>
          <w:rFonts w:ascii="Public Sans" w:hAnsi="Public Sans" w:eastAsia="Public Sans"/>
          <w:b w:val="0"/>
          <w:i w:val="0"/>
          <w:color w:val="222222"/>
          <w:sz w:val="24"/>
        </w:rPr>
        <w:t xml:space="preserve">Thời giờ làm việc: 08 giờ/ngày, từ thứ Hai đến thứ Sáu; giờ làm việc cụ thể theo Nội quy lao động của Công ty.</w:t>
      </w:r>
    </w:p>
    <w:p>
      <w:pPr>
        <w:spacing w:before="0" w:after="80" w:line="276" w:lineRule="auto"/>
        <w:jc w:val="left"/>
      </w:pPr>
      <w:r>
        <w:rPr>
          <w:rFonts w:ascii="Public Sans" w:hAnsi="Public Sans" w:eastAsia="Public Sans"/>
          <w:b w:val="0"/>
          <w:i w:val="0"/>
          <w:color w:val="222222"/>
          <w:sz w:val="24"/>
        </w:rPr>
        <w:t xml:space="preserve">Nghỉ trưa 60 phút, không tính vào thời giờ làm việc hưởng lương.</w:t>
      </w:r>
    </w:p>
    <w:p>
      <w:pPr>
        <w:spacing w:before="0" w:after="80" w:line="276" w:lineRule="auto"/>
        <w:jc w:val="left"/>
      </w:pPr>
      <w:r>
        <w:rPr>
          <w:rFonts w:ascii="Public Sans" w:hAnsi="Public Sans" w:eastAsia="Public Sans"/>
          <w:b w:val="0"/>
          <w:i w:val="0"/>
          <w:color w:val="222222"/>
          <w:sz w:val="24"/>
        </w:rPr>
        <w:t xml:space="preserve">Nghỉ hằng tuần, nghỉ hằng năm, nghỉ lễ, Tết, nghỉ việc riêng, nghỉ không hưởng lương: theo quy định của pháp luật lao động và Nội quy lao động của Công ty.</w:t>
      </w:r>
    </w:p>
    <w:p>
      <w:pPr>
        <w:keepNext/>
        <w:spacing w:before="140" w:after="80" w:line="276" w:lineRule="auto"/>
        <w:jc w:val="left"/>
      </w:pPr>
      <w:r>
        <w:rPr>
          <w:rFonts w:ascii="Public Sans" w:hAnsi="Public Sans" w:eastAsia="Public Sans"/>
          <w:b/>
          <w:i w:val="0"/>
          <w:color w:val="222222"/>
          <w:sz w:val="24"/>
        </w:rPr>
        <w:t xml:space="preserve">Điều 3. Tiền lương và chế độ</w:t>
      </w:r>
    </w:p>
    <w:p>
      <w:pPr>
        <w:spacing w:before="0" w:after="80" w:line="276" w:lineRule="auto"/>
        <w:jc w:val="left"/>
      </w:pPr>
      <w:r>
        <w:rPr>
          <w:rFonts w:ascii="Public Sans" w:hAnsi="Public Sans" w:eastAsia="Public Sans"/>
          <w:b w:val="0"/>
          <w:i w:val="0"/>
          <w:color w:val="222222"/>
          <w:sz w:val="24"/>
        </w:rPr>
        <w:t xml:space="preserve">Mức lương: </w:t>
      </w:r>
      <w:r>
        <w:rPr>
          <w:rFonts w:ascii="Public Sans" w:hAnsi="Public Sans" w:eastAsia="Public Sans"/>
          <w:b/>
          <w:i w:val="0"/>
          <w:color w:val="222222"/>
          <w:sz w:val="24"/>
        </w:rPr>
        <w:t xml:space="preserve">10.000.000 đồng/tháng</w:t>
      </w:r>
      <w:r>
        <w:rPr>
          <w:rFonts w:ascii="Public Sans" w:hAnsi="Public Sans" w:eastAsia="Public Sans"/>
          <w:b w:val="0"/>
          <w:i w:val="0"/>
          <w:color w:val="222222"/>
          <w:sz w:val="24"/>
        </w:rPr>
        <w:t xml:space="preserve"> (Bằng chữ: Mười triệu đồng chẵn).</w:t>
      </w:r>
    </w:p>
    <w:p>
      <w:pPr>
        <w:spacing w:before="0" w:after="80" w:line="276" w:lineRule="auto"/>
        <w:jc w:val="left"/>
      </w:pPr>
      <w:r>
        <w:rPr>
          <w:rFonts w:ascii="Public Sans" w:hAnsi="Public Sans" w:eastAsia="Public Sans"/>
          <w:b w:val="0"/>
          <w:i w:val="0"/>
          <w:color w:val="222222"/>
          <w:sz w:val="24"/>
        </w:rPr>
        <w:t xml:space="preserve">Mức lương trên đã bao gồm toàn bộ phụ cấp lương và các khoản bổ sung khác, là tiền lương làm căn cứ đóng bảo hiểm xã hội, bảo hiểm y tế, bảo hiểm thất nghiệp, bảo hiểm tai nạn lao động, bệnh nghề nghiệp.</w:t>
      </w:r>
    </w:p>
    <w:p>
      <w:pPr>
        <w:spacing w:before="0" w:after="80" w:line="276" w:lineRule="auto"/>
        <w:jc w:val="left"/>
      </w:pPr>
      <w:r>
        <w:rPr>
          <w:rFonts w:ascii="Public Sans" w:hAnsi="Public Sans" w:eastAsia="Public Sans"/>
          <w:b w:val="0"/>
          <w:i w:val="0"/>
          <w:color w:val="222222"/>
          <w:sz w:val="24"/>
        </w:rPr>
        <w:t xml:space="preserve">Hình thức trả lương: Chuyển khoản qua ngân hàng hoặc tiền mặt.</w:t>
      </w:r>
    </w:p>
    <w:p>
      <w:pPr>
        <w:spacing w:before="0" w:after="80" w:line="276" w:lineRule="auto"/>
        <w:jc w:val="left"/>
      </w:pPr>
      <w:r>
        <w:rPr>
          <w:rFonts w:ascii="Public Sans" w:hAnsi="Public Sans" w:eastAsia="Public Sans"/>
          <w:b w:val="0"/>
          <w:i w:val="0"/>
          <w:color w:val="222222"/>
          <w:sz w:val="24"/>
        </w:rPr>
        <w:t xml:space="preserve">Kỳ hạn trả lương: Mỗi tháng 01 lần, chậm nhất vào ngày 10 của tháng kế tiếp; nếu trùng ngày nghỉ, ngày lễ thì trả vào ngày làm việc tiếp theo.</w:t>
      </w:r>
    </w:p>
    <w:p>
      <w:pPr>
        <w:spacing w:before="0" w:after="80" w:line="276" w:lineRule="auto"/>
        <w:jc w:val="left"/>
      </w:pPr>
      <w:r>
        <w:rPr>
          <w:rFonts w:ascii="Public Sans" w:hAnsi="Public Sans" w:eastAsia="Public Sans"/>
          <w:b w:val="0"/>
          <w:i w:val="0"/>
          <w:color w:val="222222"/>
          <w:sz w:val="24"/>
        </w:rPr>
        <w:t xml:space="preserve">Thưởng, phúc lợi khác: Theo kết quả kinh doanh và chính sách của Công ty tại từng thời điểm.</w:t>
      </w:r>
    </w:p>
    <w:p>
      <w:pPr>
        <w:spacing w:before="0" w:after="80" w:line="276" w:lineRule="auto"/>
        <w:jc w:val="left"/>
      </w:pPr>
      <w:r>
        <w:rPr>
          <w:rFonts w:ascii="Public Sans" w:hAnsi="Public Sans" w:eastAsia="Public Sans"/>
          <w:b w:val="0"/>
          <w:i w:val="0"/>
          <w:color w:val="222222"/>
          <w:sz w:val="24"/>
        </w:rPr>
        <w:t xml:space="preserve">Nâng bậc, nâng lương: Công ty xem xét căn cứ kết quả kinh doanh, hiệu quả công việc và quy định pháp luật tại từng thời điểm.</w:t>
      </w:r>
    </w:p>
    <w:p>
      <w:pPr>
        <w:keepNext/>
        <w:spacing w:before="140" w:after="80" w:line="276" w:lineRule="auto"/>
        <w:jc w:val="left"/>
      </w:pPr>
      <w:r>
        <w:rPr>
          <w:rFonts w:ascii="Public Sans" w:hAnsi="Public Sans" w:eastAsia="Public Sans"/>
          <w:b/>
          <w:i w:val="0"/>
          <w:color w:val="222222"/>
          <w:sz w:val="24"/>
        </w:rPr>
        <w:t xml:space="preserve">Điều 4. Bảo hiểm và thuế thu nhập cá nhân</w:t>
      </w:r>
    </w:p>
    <w:p>
      <w:pPr>
        <w:spacing w:before="0" w:after="80" w:line="276" w:lineRule="auto"/>
        <w:jc w:val="left"/>
      </w:pPr>
      <w:r>
        <w:rPr>
          <w:rFonts w:ascii="Public Sans" w:hAnsi="Public Sans" w:eastAsia="Public Sans"/>
          <w:b w:val="0"/>
          <w:i w:val="0"/>
          <w:color w:val="222222"/>
          <w:sz w:val="24"/>
        </w:rPr>
        <w:t xml:space="preserve">Hai bên tham gia bảo hiểm xã hội, bảo hiểm y tế, bảo hiểm thất nghiệp, bảo hiểm tai nạn lao động, bệnh nghề nghiệp theo tỷ lệ và căn cứ đóng do pháp luật quy định tại từng thời điểm. Hằng tháng Công ty trích từ tiền lương phần đóng thuộc trách nhiệm của Người lao động để nộp cùng phần của Công ty.</w:t>
      </w:r>
    </w:p>
    <w:p>
      <w:pPr>
        <w:spacing w:before="0" w:after="80" w:line="276" w:lineRule="auto"/>
        <w:jc w:val="left"/>
      </w:pPr>
      <w:r>
        <w:rPr>
          <w:rFonts w:ascii="Public Sans" w:hAnsi="Public Sans" w:eastAsia="Public Sans"/>
          <w:b w:val="0"/>
          <w:i w:val="0"/>
          <w:color w:val="222222"/>
          <w:sz w:val="24"/>
        </w:rPr>
        <w:t xml:space="preserve">Công ty khấu trừ thuế thu nhập cá nhân của Người lao động (nếu có) trước khi chi trả tiền lương theo quy định của pháp luật.</w:t>
      </w:r>
    </w:p>
    <w:p>
      <w:pPr>
        <w:keepNext/>
        <w:spacing w:before="140" w:after="80" w:line="276" w:lineRule="auto"/>
        <w:jc w:val="left"/>
      </w:pPr>
      <w:r>
        <w:rPr>
          <w:rFonts w:ascii="Public Sans" w:hAnsi="Public Sans" w:eastAsia="Public Sans"/>
          <w:b/>
          <w:i w:val="0"/>
          <w:color w:val="222222"/>
          <w:sz w:val="24"/>
        </w:rPr>
        <w:t xml:space="preserve">Điều 5. Quyền và nghĩa vụ của Người lao động</w:t>
      </w:r>
    </w:p>
    <w:p>
      <w:pPr>
        <w:spacing w:before="0" w:after="80" w:line="276" w:lineRule="auto"/>
        <w:jc w:val="left"/>
      </w:pPr>
      <w:r>
        <w:rPr>
          <w:rFonts w:ascii="Public Sans" w:hAnsi="Public Sans" w:eastAsia="Public Sans"/>
          <w:b w:val="0"/>
          <w:i w:val="0"/>
          <w:color w:val="222222"/>
          <w:sz w:val="24"/>
        </w:rPr>
        <w:t xml:space="preserve">Được bố trí công việc, trả lương, nghỉ ngơi, hưởng phúc lợi, bảo hiểm và làm việc trong điều kiện bảo đảm an toàn, vệ sinh lao động theo Hợp đồng này và pháp luật.</w:t>
      </w:r>
    </w:p>
    <w:p>
      <w:pPr>
        <w:spacing w:before="0" w:after="80" w:line="276" w:lineRule="auto"/>
        <w:jc w:val="left"/>
      </w:pPr>
      <w:r>
        <w:rPr>
          <w:rFonts w:ascii="Public Sans" w:hAnsi="Public Sans" w:eastAsia="Public Sans"/>
          <w:b w:val="0"/>
          <w:i w:val="0"/>
          <w:color w:val="222222"/>
          <w:sz w:val="24"/>
        </w:rPr>
        <w:t xml:space="preserve">Thực hiện Hợp đồng này, Nội quy lao động, quy chế của Công ty; chấp hành sự quản lý, giám sát của Hội đồng thành viên.</w:t>
      </w:r>
    </w:p>
    <w:p>
      <w:pPr>
        <w:spacing w:before="0" w:after="80" w:line="276" w:lineRule="auto"/>
        <w:jc w:val="left"/>
      </w:pPr>
      <w:r>
        <w:rPr>
          <w:rFonts w:ascii="Public Sans" w:hAnsi="Public Sans" w:eastAsia="Public Sans"/>
          <w:b w:val="0"/>
          <w:i w:val="0"/>
          <w:color w:val="222222"/>
          <w:sz w:val="24"/>
        </w:rPr>
        <w:t xml:space="preserve">Bảo vệ tài sản, bí mật kinh doanh, bí mật công nghệ và sở hữu trí tuệ của Công ty; bàn giao đầy đủ công việc, tài liệu, tài sản khi chấm dứt Hợp đồng.</w:t>
      </w:r>
    </w:p>
    <w:p>
      <w:pPr>
        <w:spacing w:before="0" w:after="80" w:line="276" w:lineRule="auto"/>
        <w:jc w:val="left"/>
      </w:pPr>
      <w:r>
        <w:rPr>
          <w:rFonts w:ascii="Public Sans" w:hAnsi="Public Sans" w:eastAsia="Public Sans"/>
          <w:b w:val="0"/>
          <w:i w:val="0"/>
          <w:color w:val="222222"/>
          <w:sz w:val="24"/>
        </w:rPr>
        <w:t xml:space="preserve">Bồi thường thiệt hại khi vi phạm theo quy định của pháp luật và quy chế của Công ty.</w:t>
      </w:r>
    </w:p>
    <w:p>
      <w:pPr>
        <w:keepNext/>
        <w:spacing w:before="140" w:after="80" w:line="276" w:lineRule="auto"/>
        <w:jc w:val="left"/>
      </w:pPr>
      <w:r>
        <w:rPr>
          <w:rFonts w:ascii="Public Sans" w:hAnsi="Public Sans" w:eastAsia="Public Sans"/>
          <w:b/>
          <w:i w:val="0"/>
          <w:color w:val="222222"/>
          <w:sz w:val="24"/>
        </w:rPr>
        <w:t xml:space="preserve">Điều 6. Quyền và nghĩa vụ của Người sử dụng lao động</w:t>
      </w:r>
    </w:p>
    <w:p>
      <w:pPr>
        <w:spacing w:before="0" w:after="80" w:line="276" w:lineRule="auto"/>
        <w:jc w:val="left"/>
      </w:pPr>
      <w:r>
        <w:rPr>
          <w:rFonts w:ascii="Public Sans" w:hAnsi="Public Sans" w:eastAsia="Public Sans"/>
          <w:b w:val="0"/>
          <w:i w:val="0"/>
          <w:color w:val="222222"/>
          <w:sz w:val="24"/>
        </w:rPr>
        <w:t xml:space="preserve">Bố trí, quản lý, điều hành, giám sát lao động; khen thưởng và xử lý vi phạm kỷ luật lao động theo quy định.</w:t>
      </w:r>
    </w:p>
    <w:p>
      <w:pPr>
        <w:spacing w:before="0" w:after="80" w:line="276" w:lineRule="auto"/>
        <w:jc w:val="left"/>
      </w:pPr>
      <w:r>
        <w:rPr>
          <w:rFonts w:ascii="Public Sans" w:hAnsi="Public Sans" w:eastAsia="Public Sans"/>
          <w:b w:val="0"/>
          <w:i w:val="0"/>
          <w:color w:val="222222"/>
          <w:sz w:val="24"/>
        </w:rPr>
        <w:t xml:space="preserve">Trả lương đầy đủ, đúng hạn; đóng bảo hiểm và bảo đảm các chế độ cho Người lao động theo Hợp đồng này và pháp luật.</w:t>
      </w:r>
    </w:p>
    <w:p>
      <w:pPr>
        <w:spacing w:before="0" w:after="80" w:line="276" w:lineRule="auto"/>
        <w:jc w:val="left"/>
      </w:pPr>
      <w:r>
        <w:rPr>
          <w:rFonts w:ascii="Public Sans" w:hAnsi="Public Sans" w:eastAsia="Public Sans"/>
          <w:b w:val="0"/>
          <w:i w:val="0"/>
          <w:color w:val="222222"/>
          <w:sz w:val="24"/>
        </w:rPr>
        <w:t xml:space="preserve">Tôn trọng danh dự, nhân phẩm của Người lao động; thực hiện đối thoại và quy chế dân chủ tại nơi làm việc.</w:t>
      </w:r>
    </w:p>
    <w:p>
      <w:pPr>
        <w:keepNext/>
        <w:spacing w:before="140" w:after="80" w:line="276" w:lineRule="auto"/>
        <w:jc w:val="left"/>
      </w:pPr>
      <w:r>
        <w:rPr>
          <w:rFonts w:ascii="Public Sans" w:hAnsi="Public Sans" w:eastAsia="Public Sans"/>
          <w:b/>
          <w:i w:val="0"/>
          <w:color w:val="222222"/>
          <w:sz w:val="24"/>
        </w:rPr>
        <w:t xml:space="preserve">Điều 7. Điều khoản thi hành</w:t>
      </w:r>
    </w:p>
    <w:p>
      <w:pPr>
        <w:keepNext/>
        <w:spacing w:before="0" w:after="80" w:line="276" w:lineRule="auto"/>
        <w:jc w:val="left"/>
      </w:pPr>
      <w:r>
        <w:rPr>
          <w:rFonts w:ascii="Public Sans" w:hAnsi="Public Sans" w:eastAsia="Public Sans"/>
          <w:b w:val="0"/>
          <w:i w:val="0"/>
          <w:color w:val="222222"/>
          <w:sz w:val="24"/>
        </w:rPr>
        <w:t xml:space="preserve">Những nội dung không ghi trong Hợp đồng này thực hiện theo Nội quy lao động, quy chế của Công ty và pháp luật lao động.</w:t>
      </w:r>
    </w:p>
    <w:p>
      <w:pPr>
        <w:keepNext/>
        <w:spacing w:before="0" w:after="80" w:line="276" w:lineRule="auto"/>
        <w:jc w:val="left"/>
      </w:pPr>
      <w:r>
        <w:rPr>
          <w:rFonts w:ascii="Public Sans" w:hAnsi="Public Sans" w:eastAsia="Public Sans"/>
          <w:b w:val="0"/>
          <w:i w:val="0"/>
          <w:color w:val="222222"/>
          <w:sz w:val="24"/>
        </w:rPr>
        <w:t xml:space="preserve">Tranh chấp phát sinh được giải quyết trên cơ sở thương lượng; nếu không thỏa thuận được thì đưa ra cơ quan có thẩm quyền giải quyết theo quy định của pháp luật.</w:t>
      </w:r>
    </w:p>
    <w:p>
      <w:pPr>
        <w:keepNext/>
        <w:spacing w:before="0" w:after="200" w:line="276" w:lineRule="auto"/>
        <w:jc w:val="left"/>
      </w:pPr>
      <w:r>
        <w:rPr>
          <w:rFonts w:ascii="Public Sans" w:hAnsi="Public Sans" w:eastAsia="Public Sans"/>
          <w:b w:val="0"/>
          <w:i w:val="0"/>
          <w:color w:val="222222"/>
          <w:sz w:val="24"/>
        </w:rPr>
        <w:t xml:space="preserve">Hợp đồng được lập thành 02 bản có giá trị như nhau, mỗi bên giữ 01 bản, có hiệu lực kể từ ngày 01/09/2026. Phụ lục hợp đồng (nếu có) là bộ phận không tách rời của Hợp đồng này.</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80"/>
        <w:gridCol w:w="4680"/>
      </w:tblGrid>
      <w:tr>
        <w:trPr>
          <w:cantSplit/>
        </w:trPr>
        <w:tc>
          <w:tcPr>
            <w:tcW w:type="dxa" w:w="4680"/>
          </w:tcPr>
          <w:p>
            <w:pPr>
              <w:jc w:val="center"/>
            </w:pPr>
            <w:r>
              <w:rPr>
                <w:rFonts w:ascii="Public Sans" w:hAnsi="Public Sans" w:eastAsia="Public Sans"/>
                <w:b/>
                <w:i w:val="0"/>
                <w:color w:val="222222"/>
                <w:sz w:val="22"/>
              </w:rPr>
              <w:t xml:space="preserve">NGƯỜI LAO ĐỘNG</w:t>
            </w:r>
          </w:p>
          <w:p>
            <w:pPr>
              <w:jc w:val="center"/>
            </w:pPr>
            <w:r>
              <w:rPr>
                <w:rFonts w:ascii="Public Sans" w:hAnsi="Public Sans" w:eastAsia="Public Sans"/>
                <w:b w:val="0"/>
                <w:i/>
                <w:color w:val="626262"/>
                <w:sz w:val="20"/>
              </w:rPr>
              <w:t xml:space="preserve">(Trương Ngọc Ánh)</w:t>
            </w:r>
          </w:p>
          <w:p/>
          <w:p/>
          <w:p/>
          <w:p/>
          <w:p/>
          <w:p/>
        </w:tc>
        <w:tc>
          <w:tcPr>
            <w:tcW w:type="dxa" w:w="4680"/>
          </w:tcPr>
          <w:p>
            <w:pPr>
              <w:jc w:val="center"/>
            </w:pPr>
            <w:r>
              <w:rPr>
                <w:rFonts w:ascii="Public Sans" w:hAnsi="Public Sans" w:eastAsia="Public Sans"/>
                <w:b/>
                <w:i w:val="0"/>
                <w:color w:val="222222"/>
                <w:sz w:val="22"/>
              </w:rPr>
              <w:t xml:space="preserve">NGƯỜI SỬ DỤNG LAO ĐỘNG</w:t>
            </w:r>
          </w:p>
          <w:p>
            <w:pPr>
              <w:jc w:val="center"/>
            </w:pPr>
            <w:r>
              <w:rPr>
                <w:rFonts w:ascii="Public Sans" w:hAnsi="Public Sans" w:eastAsia="Public Sans"/>
                <w:b/>
                <w:i w:val="0"/>
                <w:color w:val="222222"/>
                <w:sz w:val="22"/>
              </w:rPr>
              <w:t xml:space="preserve">CHỦ TỊCH HỘI ĐỒNG THÀNH VIÊN</w:t>
            </w:r>
          </w:p>
          <w:p>
            <w:pPr>
              <w:jc w:val="center"/>
            </w:pPr>
            <w:r>
              <w:rPr>
                <w:rFonts w:ascii="Public Sans" w:hAnsi="Public Sans" w:eastAsia="Public Sans"/>
                <w:b w:val="0"/>
                <w:i/>
                <w:color w:val="626262"/>
                <w:sz w:val="20"/>
              </w:rPr>
              <w:t xml:space="preserve">(Nguyễn Duy Quang)</w:t>
            </w:r>
          </w:p>
          <w:p/>
          <w:p/>
          <w:p/>
          <w:p/>
          <w:p/>
          <w:p/>
        </w:tc>
      </w:tr>
    </w:tbl>
    <w:sectPr w:rsidR="00FC693F" w:rsidRPr="0006063C" w:rsidSect="00034616">
      <w:headerReference w:type="default" r:id="rId9"/>
      <w:footerReference w:type="default" r:id="rId10"/>
      <w:pgSz w:w="12240" w:h="15840"/>
      <w:pgMar w:top="1440" w:right="1440" w:bottom="1440" w:left="1440"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40"/>
      <w:pBdr>
        <w:top w:val="single" w:sz="8" w:space="1" w:color="000000"/>
      </w:pBd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3120"/>
        </w:tcPr>
        <w:p>
          <w:pPr>
            <w:jc w:val="left"/>
          </w:pPr>
          <w:r/>
          <w:r>
            <w:rPr>
              <w:rFonts w:ascii="Public Sans" w:hAnsi="Public Sans" w:eastAsia="Public Sans"/>
              <w:b/>
              <w:color w:val="000000"/>
              <w:sz w:val="17"/>
            </w:rPr>
            <w:t>DS Corporation</w:t>
          </w:r>
        </w:p>
      </w:tc>
      <w:tc>
        <w:tcPr>
          <w:tcW w:type="dxa" w:w="3120"/>
        </w:tcPr>
        <w:p>
          <w:pPr>
            <w:jc w:val="center"/>
          </w:pPr>
          <w:r/>
          <w:r>
            <w:rPr>
              <w:rFonts w:ascii="Public Sans" w:hAnsi="Public Sans" w:eastAsia="Public Sans"/>
              <w:color w:val="000000"/>
              <w:sz w:val="16"/>
            </w:rPr>
            <w:t>Hợp đồng lao động Tổng giám đốc</w:t>
          </w:r>
        </w:p>
      </w:tc>
      <w:tc>
        <w:tcPr>
          <w:tcW w:type="dxa" w:w="3120"/>
        </w:tcPr>
        <w:p>
          <w:pPr>
            <w:jc w:val="right"/>
          </w:pPr>
          <w:r/>
          <w:r>
            <w:rPr>
              <w:rFonts w:ascii="Public Sans" w:hAnsi="Public Sans" w:eastAsia="Public Sans"/>
              <w:color w:val="626262"/>
              <w:sz w:val="18"/>
            </w:rPr>
            <w:t xml:space="preserve">Page </w:t>
          </w:r>
          <w:r>
            <w:rPr>
              <w:rFonts w:ascii="Public Sans" w:hAnsi="Public Sans" w:eastAsia="Public Sans"/>
              <w:color w:val="626262"/>
              <w:sz w:val="18"/>
            </w:rPr>
            <w:fldChar w:fldCharType="begin"/>
            <w:instrText xml:space="preserve"> PAGE </w:instrText>
            <w:fldChar w:fldCharType="end"/>
          </w:r>
          <w:r>
            <w:rPr>
              <w:rFonts w:ascii="Public Sans" w:hAnsi="Public Sans" w:eastAsia="Public Sans"/>
              <w:color w:val="626262"/>
              <w:sz w:val="18"/>
            </w:rPr>
            <w:t xml:space="preserve"> / </w:t>
          </w:r>
          <w:r>
            <w:rPr>
              <w:rFonts w:ascii="Public Sans" w:hAnsi="Public Sans" w:eastAsia="Public Sans"/>
              <w:color w:val="626262"/>
              <w:sz w:val="18"/>
            </w:rPr>
            <w:fldChar w:fldCharType="begin"/>
            <w:instrText xml:space="preserve"> NUMPAGES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Pr>
        <w:p>
          <w:pPr>
            <w:spacing w:after="0" w:line="240" w:lineRule="auto"/>
            <w:jc w:val="left"/>
          </w:pPr>
          <w:r>
            <w:rPr>
              <w:rFonts w:ascii="Public Sans" w:hAnsi="Public Sans" w:eastAsia="Public Sans"/>
              <w:b/>
              <w:color w:val="000000"/>
              <w:sz w:val="33"/>
            </w:rPr>
            <w:t>DS Corporation</w:t>
          </w:r>
        </w:p>
        <w:p>
          <w:pPr>
            <w:spacing w:before="0" w:after="0" w:line="240" w:lineRule="auto"/>
            <w:jc w:val="left"/>
          </w:pPr>
          <w:r>
            <w:rPr>
              <w:rFonts w:ascii="Public Sans" w:hAnsi="Public Sans" w:eastAsia="Public Sans"/>
              <w:color w:val="000000"/>
              <w:sz w:val="18"/>
            </w:rPr>
            <w:t>CÔNG TY TNHH DS CORPORATION</w:t>
          </w:r>
        </w:p>
      </w:tc>
      <w:tc>
        <w:tcPr>
          <w:tcW w:type="dxa" w:w="4680"/>
        </w:tcPr>
        <w:p>
          <w:pPr>
            <w:spacing w:after="0" w:line="240" w:lineRule="auto"/>
            <w:jc w:val="right"/>
          </w:pPr>
          <w:r>
            <w:rPr>
              <w:rFonts w:ascii="Public Sans" w:hAnsi="Public Sans" w:eastAsia="Public Sans"/>
              <w:b/>
              <w:color w:val="000000"/>
              <w:sz w:val="17"/>
            </w:rPr>
            <w:t>Mã số doanh nghiệp: 0111537512</w:t>
          </w:r>
        </w:p>
        <w:p>
          <w:pPr>
            <w:spacing w:before="0" w:after="0" w:line="240" w:lineRule="auto"/>
            <w:jc w:val="right"/>
          </w:pPr>
          <w:r>
            <w:rPr>
              <w:rFonts w:ascii="Public Sans" w:hAnsi="Public Sans" w:eastAsia="Public Sans"/>
              <w:color w:val="000000"/>
              <w:sz w:val="17"/>
            </w:rPr>
            <w:t>Tầng 4, Tòa nhà Sannam, số 78 phố Duy Tân, Phường Cầu Giấy, Thành phố Hà Nội, Việt Nam</w:t>
          </w:r>
        </w:p>
        <w:p>
          <w:pPr>
            <w:spacing w:before="0" w:after="0" w:line="240" w:lineRule="auto"/>
            <w:jc w:val="right"/>
          </w:pPr>
          <w:r>
            <w:rPr>
              <w:rFonts w:ascii="Public Sans" w:hAnsi="Public Sans" w:eastAsia="Public Sans"/>
              <w:color w:val="000000"/>
              <w:sz w:val="17"/>
            </w:rPr>
            <w:t>dsgroup.info26@gmail.com  |  0912.789.788</w:t>
          </w:r>
        </w:p>
      </w:tc>
    </w:tr>
  </w:tbl>
  <w:p>
    <w:pPr>
      <w:spacing w:before="100" w:after="200"/>
      <w:pBdr>
        <w:bottom w:val="single" w:sz="8" w:space="1" w:color="00000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ublic Sans" w:hAnsi="Public Sans" w:eastAsia="Public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