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76" w:lineRule="auto"/>
        <w:jc w:val="center"/>
      </w:pPr>
      <w:r>
        <w:rPr>
          <w:rFonts w:ascii="Public Sans" w:hAnsi="Public Sans" w:eastAsia="Public Sans"/>
          <w:b w:val="0"/>
          <w:i w:val="0"/>
          <w:color w:val="000000"/>
          <w:sz w:val="36"/>
        </w:rPr>
        <w:t xml:space="preserve">BẢNG THANH TOÁN TIỀN LƯƠNG</w:t>
      </w:r>
    </w:p>
    <w:p>
      <w:pPr>
        <w:spacing w:before="0" w:after="160" w:line="276" w:lineRule="auto"/>
        <w:jc w:val="center"/>
      </w:pPr>
      <w:r>
        <w:rPr>
          <w:rFonts w:ascii="Public Sans" w:hAnsi="Public Sans" w:eastAsia="Public Sans"/>
          <w:b w:val="0"/>
          <w:i/>
          <w:color w:val="000000"/>
          <w:sz w:val="22"/>
        </w:rPr>
        <w:t xml:space="preserve">Tháng 09 năm 2026</w:t>
      </w:r>
    </w:p>
    <w:p>
      <w:pPr>
        <w:spacing w:before="0" w:after="240" w:line="240" w:lineRule="auto"/>
        <w:jc w:val="center"/>
      </w:pPr>
      <w:r>
        <w:rPr>
          <w:rFonts w:ascii="Public Sans" w:hAnsi="Public Sans" w:eastAsia="Public Sans"/>
          <w:b w:val="0"/>
          <w:i w:val="0"/>
          <w:color w:val="000000"/>
          <w:sz w:val="20"/>
        </w:rPr>
        <w:t xml:space="preserve">Số: 10/2026/BTTL-DS   |   Ngày: 30/09/2026</w:t>
      </w:r>
    </w:p>
    <w:p>
      <w:pPr>
        <w:spacing w:before="0" w:after="120" w:line="276" w:lineRule="auto"/>
        <w:jc w:val="left"/>
      </w:pPr>
      <w:r>
        <w:rPr>
          <w:rFonts w:ascii="Public Sans" w:hAnsi="Public Sans" w:eastAsia="Public Sans"/>
          <w:b w:val="0"/>
          <w:i w:val="0"/>
          <w:color w:val="222222"/>
          <w:sz w:val="24"/>
        </w:rPr>
        <w:t xml:space="preserve">Bộ phận: Ban Tổng giám đốc | Ngày công chuẩn: 22 ngày | Đơn vị tính: đồng</w:t>
      </w:r>
    </w:p>
    <w:tbl>
      <w:tblPr>
        <w:tblStyle w:val="TableGrid"/>
        <w:tblW w:w="0" w:type="auto"/>
        <w:jc w:val="center"/>
        <w:tblLayout w:type="fixed"/>
        <w:tblCellMar>
          <w:left w:w="40" w:type="dxa"/>
          <w:right w:w="40" w:type="dxa"/>
        </w:tblCellMar>
        <w:tblLook w:val="04A0" w:firstRow="1" w:lastRow="0" w:firstColumn="1" w:lastColumn="0" w:noHBand="0" w:noVBand="1"/>
      </w:tblPr>
      <w:tblGrid>
        <w:gridCol w:w="450"/>
        <w:gridCol w:w="1250"/>
        <w:gridCol w:w="1000"/>
        <w:gridCol w:w="1150"/>
        <w:gridCol w:w="650"/>
        <w:gridCol w:w="1150"/>
        <w:gridCol w:w="600"/>
        <w:gridCol w:w="1150"/>
        <w:gridCol w:w="1050"/>
        <w:gridCol w:w="1000"/>
        <w:gridCol w:w="1000"/>
        <w:gridCol w:w="750"/>
        <w:gridCol w:w="1150"/>
        <w:gridCol w:w="1150"/>
        <w:gridCol w:w="900"/>
      </w:tblGrid>
      <w:tr>
        <w:trPr>
          <w:cantSplit/>
          <w:tblHeader/>
          <w:jc w:val="center"/>
        </w:trPr>
        <w:tc>
          <w:tcPr>
            <w:tcW w:w="450" w:type="dxa"/>
            <w:vMerge w:val="restart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6"/>
              </w:rPr>
              <w:t xml:space="preserve">STT</w:t>
            </w:r>
          </w:p>
        </w:tc>
        <w:tc>
          <w:tcPr>
            <w:tcW w:w="1250" w:type="dxa"/>
            <w:vMerge w:val="restart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6"/>
              </w:rPr>
              <w:t xml:space="preserve">Họ và tên</w:t>
            </w:r>
          </w:p>
        </w:tc>
        <w:tc>
          <w:tcPr>
            <w:tcW w:w="1000" w:type="dxa"/>
            <w:vMerge w:val="restart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6"/>
              </w:rPr>
              <w:t xml:space="preserve">Chức vụ</w:t>
            </w:r>
          </w:p>
        </w:tc>
        <w:tc>
          <w:tcPr>
            <w:tcW w:w="1150" w:type="dxa"/>
            <w:vMerge w:val="restart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6"/>
              </w:rPr>
              <w:t xml:space="preserve">Mức lương theo HĐLĐ</w:t>
            </w:r>
          </w:p>
        </w:tc>
        <w:tc>
          <w:tcPr>
            <w:tcW w:w="650" w:type="dxa"/>
            <w:vMerge w:val="restart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6"/>
              </w:rPr>
              <w:t xml:space="preserve">Ngày công hưởng lương</w:t>
            </w:r>
          </w:p>
        </w:tc>
        <w:tc>
          <w:tcPr>
            <w:tcW w:w="1150" w:type="dxa"/>
            <w:vMerge w:val="restart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6"/>
              </w:rPr>
              <w:t xml:space="preserve">Lương theo ngày công</w:t>
            </w:r>
          </w:p>
        </w:tc>
        <w:tc>
          <w:tcPr>
            <w:tcW w:w="600" w:type="dxa"/>
            <w:vMerge w:val="restart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6"/>
              </w:rPr>
              <w:t xml:space="preserve">Phụ cấp</w:t>
            </w:r>
          </w:p>
        </w:tc>
        <w:tc>
          <w:tcPr>
            <w:tcW w:w="1150" w:type="dxa"/>
            <w:vMerge w:val="restart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6"/>
              </w:rPr>
              <w:t xml:space="preserve">Tổng thu nhập</w:t>
            </w:r>
          </w:p>
        </w:tc>
        <w:tc>
          <w:tcPr>
            <w:tcW w:w="4950" w:type="dxa"/>
            <w:gridSpan w:val="5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6"/>
              </w:rPr>
              <w:t xml:space="preserve">Các khoản khấu trừ của người lao động</w:t>
            </w:r>
          </w:p>
        </w:tc>
        <w:tc>
          <w:tcPr>
            <w:tcW w:w="1150" w:type="dxa"/>
            <w:vMerge w:val="restart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6"/>
              </w:rPr>
              <w:t xml:space="preserve">Thực lĩnh</w:t>
            </w:r>
          </w:p>
        </w:tc>
        <w:tc>
          <w:tcPr>
            <w:tcW w:w="900" w:type="dxa"/>
            <w:vMerge w:val="restart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6"/>
              </w:rPr>
              <w:t xml:space="preserve">Ký nhận</w:t>
            </w:r>
          </w:p>
        </w:tc>
      </w:tr>
      <w:tr>
        <w:trPr>
          <w:cantSplit/>
          <w:tblHeader/>
          <w:jc w:val="center"/>
        </w:trPr>
        <w:tc>
          <w:tcPr>
            <w:tcW w:w="450" w:type="dxa"/>
            <w:vMerge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1250" w:type="dxa"/>
            <w:vMerge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1000" w:type="dxa"/>
            <w:vMerge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1150" w:type="dxa"/>
            <w:vMerge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650" w:type="dxa"/>
            <w:vMerge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1150" w:type="dxa"/>
            <w:vMerge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600" w:type="dxa"/>
            <w:vMerge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1150" w:type="dxa"/>
            <w:vMerge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105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6"/>
              </w:rPr>
              <w:t xml:space="preserve">BHXH 8%</w:t>
            </w:r>
          </w:p>
        </w:tc>
        <w:tc>
          <w:tcPr>
            <w:tcW w:w="100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6"/>
              </w:rPr>
              <w:t xml:space="preserve">BHYT 1,5%</w:t>
            </w:r>
          </w:p>
        </w:tc>
        <w:tc>
          <w:tcPr>
            <w:tcW w:w="100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6"/>
              </w:rPr>
              <w:t xml:space="preserve">BHTN 1%</w:t>
            </w:r>
          </w:p>
        </w:tc>
        <w:tc>
          <w:tcPr>
            <w:tcW w:w="75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6"/>
              </w:rPr>
              <w:t xml:space="preserve">Thuế TNCN</w:t>
            </w:r>
          </w:p>
        </w:tc>
        <w:tc>
          <w:tcPr>
            <w:tcW w:w="115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6"/>
              </w:rPr>
              <w:t xml:space="preserve">Cộng khấu trừ</w:t>
            </w:r>
          </w:p>
        </w:tc>
        <w:tc>
          <w:tcPr>
            <w:tcW w:w="1150" w:type="dxa"/>
            <w:vMerge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900" w:type="dxa"/>
            <w:vMerge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</w:p>
        </w:tc>
      </w:tr>
      <w:tr>
        <w:trPr>
          <w:cantSplit/>
          <w:jc w:val="center"/>
        </w:trPr>
        <w:tc>
          <w:tcPr>
            <w:tcW w:w="45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1</w:t>
            </w:r>
          </w:p>
        </w:tc>
        <w:tc>
          <w:tcPr>
            <w:tcW w:w="1250" w:type="dxa"/>
            <w:vAlign w:val="center"/>
          </w:tcPr>
          <w:p>
            <w:pPr>
              <w:spacing w:after="20" w:line="264" w:lineRule="auto"/>
              <w:jc w:val="lef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Trương Ngọc Ánh</w:t>
            </w:r>
          </w:p>
        </w:tc>
        <w:tc>
          <w:tcPr>
            <w:tcW w:w="100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Tổng giám đốc</w:t>
            </w:r>
          </w:p>
        </w:tc>
        <w:tc>
          <w:tcPr>
            <w:tcW w:w="115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10.000.000</w:t>
            </w:r>
          </w:p>
        </w:tc>
        <w:tc>
          <w:tcPr>
            <w:tcW w:w="65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22</w:t>
            </w:r>
          </w:p>
        </w:tc>
        <w:tc>
          <w:tcPr>
            <w:tcW w:w="115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10.000.000</w:t>
            </w:r>
          </w:p>
        </w:tc>
        <w:tc>
          <w:tcPr>
            <w:tcW w:w="60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0</w:t>
            </w:r>
          </w:p>
        </w:tc>
        <w:tc>
          <w:tcPr>
            <w:tcW w:w="115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10.000.000</w:t>
            </w:r>
          </w:p>
        </w:tc>
        <w:tc>
          <w:tcPr>
            <w:tcW w:w="105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800.000</w:t>
            </w:r>
          </w:p>
        </w:tc>
        <w:tc>
          <w:tcPr>
            <w:tcW w:w="100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150.000</w:t>
            </w:r>
          </w:p>
        </w:tc>
        <w:tc>
          <w:tcPr>
            <w:tcW w:w="100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100.000</w:t>
            </w:r>
          </w:p>
        </w:tc>
        <w:tc>
          <w:tcPr>
            <w:tcW w:w="75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0</w:t>
            </w:r>
          </w:p>
        </w:tc>
        <w:tc>
          <w:tcPr>
            <w:tcW w:w="115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1.050.000</w:t>
            </w:r>
          </w:p>
        </w:tc>
        <w:tc>
          <w:tcPr>
            <w:tcW w:w="115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18"/>
              </w:rPr>
              <w:t xml:space="preserve">8.950.000</w:t>
            </w:r>
          </w:p>
        </w:tc>
        <w:tc>
          <w:tcPr>
            <w:tcW w:w="900" w:type="dxa"/>
            <w:vAlign w:val="center"/>
          </w:tcPr>
          <w:p>
            <w:pPr>
              <w:spacing w:after="20" w:line="264" w:lineRule="auto"/>
              <w:jc w:val="center"/>
            </w:pPr>
          </w:p>
        </w:tc>
      </w:tr>
      <w:tr>
        <w:trPr>
          <w:cantSplit/>
          <w:jc w:val="center"/>
        </w:trPr>
        <w:tc>
          <w:tcPr>
            <w:tcW w:w="2700" w:type="dxa"/>
            <w:gridSpan w:val="3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8"/>
              </w:rPr>
              <w:t xml:space="preserve">TỔNG CỘNG</w:t>
            </w:r>
          </w:p>
        </w:tc>
        <w:tc>
          <w:tcPr>
            <w:tcW w:w="115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8"/>
              </w:rPr>
              <w:t xml:space="preserve">10.000.000</w:t>
            </w:r>
          </w:p>
        </w:tc>
        <w:tc>
          <w:tcPr>
            <w:tcW w:w="650" w:type="dxa"/>
            <w:vAlign w:val="center"/>
          </w:tcPr>
          <w:p>
            <w:pPr>
              <w:spacing w:after="20" w:line="264" w:lineRule="auto"/>
              <w:jc w:val="center"/>
            </w:pPr>
          </w:p>
        </w:tc>
        <w:tc>
          <w:tcPr>
            <w:tcW w:w="115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8"/>
              </w:rPr>
              <w:t xml:space="preserve">10.000.000</w:t>
            </w:r>
          </w:p>
        </w:tc>
        <w:tc>
          <w:tcPr>
            <w:tcW w:w="60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8"/>
              </w:rPr>
              <w:t xml:space="preserve">0</w:t>
            </w:r>
          </w:p>
        </w:tc>
        <w:tc>
          <w:tcPr>
            <w:tcW w:w="115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8"/>
              </w:rPr>
              <w:t xml:space="preserve">10.000.000</w:t>
            </w:r>
          </w:p>
        </w:tc>
        <w:tc>
          <w:tcPr>
            <w:tcW w:w="105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8"/>
              </w:rPr>
              <w:t xml:space="preserve">800.000</w:t>
            </w:r>
          </w:p>
        </w:tc>
        <w:tc>
          <w:tcPr>
            <w:tcW w:w="100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8"/>
              </w:rPr>
              <w:t xml:space="preserve">150.000</w:t>
            </w:r>
          </w:p>
        </w:tc>
        <w:tc>
          <w:tcPr>
            <w:tcW w:w="100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8"/>
              </w:rPr>
              <w:t xml:space="preserve">100.000</w:t>
            </w:r>
          </w:p>
        </w:tc>
        <w:tc>
          <w:tcPr>
            <w:tcW w:w="75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8"/>
              </w:rPr>
              <w:t xml:space="preserve">0</w:t>
            </w:r>
          </w:p>
        </w:tc>
        <w:tc>
          <w:tcPr>
            <w:tcW w:w="115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8"/>
              </w:rPr>
              <w:t xml:space="preserve">1.050.000</w:t>
            </w:r>
          </w:p>
        </w:tc>
        <w:tc>
          <w:tcPr>
            <w:tcW w:w="115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18"/>
              </w:rPr>
              <w:t xml:space="preserve">8.950.000</w:t>
            </w:r>
          </w:p>
        </w:tc>
        <w:tc>
          <w:tcPr>
            <w:tcW w:w="900" w:type="dxa"/>
            <w:vAlign w:val="center"/>
          </w:tcPr>
          <w:p>
            <w:pPr>
              <w:spacing w:after="20" w:line="264" w:lineRule="auto"/>
              <w:jc w:val="center"/>
            </w:pPr>
          </w:p>
        </w:tc>
      </w:tr>
    </w:tbl>
    <w:p>
      <w:pPr>
        <w:spacing w:after="80"/>
      </w:pPr>
    </w:p>
    <w:p>
      <w:pPr>
        <w:spacing w:before="0" w:after="160" w:line="276" w:lineRule="auto"/>
        <w:jc w:val="left"/>
      </w:pPr>
      <w:r>
        <w:rPr>
          <w:rFonts w:ascii="Public Sans" w:hAnsi="Public Sans" w:eastAsia="Public Sans"/>
          <w:b/>
          <w:i w:val="0"/>
          <w:color w:val="222222"/>
          <w:sz w:val="24"/>
        </w:rPr>
        <w:t xml:space="preserve">Tổng số tiền thực lĩnh (bằng chữ): </w:t>
      </w:r>
      <w:r>
        <w:rPr>
          <w:rFonts w:ascii="Public Sans" w:hAnsi="Public Sans" w:eastAsia="Public Sans"/>
          <w:b w:val="0"/>
          <w:i/>
          <w:color w:val="222222"/>
          <w:sz w:val="24"/>
        </w:rPr>
        <w:t xml:space="preserve">Tám triệu chín trăm năm mươi nghìn đồng chẵn.</w:t>
      </w:r>
    </w:p>
    <w:p>
      <w:pPr>
        <w:keepNext/>
        <w:spacing w:before="140" w:after="80" w:line="276" w:lineRule="auto"/>
        <w:jc w:val="left"/>
      </w:pPr>
      <w:r>
        <w:rPr>
          <w:rFonts w:ascii="Public Sans" w:hAnsi="Public Sans" w:eastAsia="Public Sans"/>
          <w:b/>
          <w:i w:val="0"/>
          <w:color w:val="222222"/>
          <w:sz w:val="24"/>
        </w:rPr>
        <w:t xml:space="preserve">Phần đóng bảo hiểm bắt buộc tháng 09/2026</w:t>
      </w:r>
    </w:p>
    <w:tbl>
      <w:tblPr>
        <w:tblStyle w:val="TableGrid"/>
        <w:tblW w:w="0" w:type="auto"/>
        <w:jc w:val="center"/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5200"/>
        <w:gridCol w:w="1300"/>
        <w:gridCol w:w="2000"/>
      </w:tblGrid>
      <w:tr>
        <w:trPr>
          <w:cantSplit/>
          <w:tblHeader/>
          <w:jc w:val="center"/>
        </w:trPr>
        <w:tc>
          <w:tcPr>
            <w:tcW w:w="520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20"/>
              </w:rPr>
              <w:t xml:space="preserve">Khoản đóng</w:t>
            </w:r>
          </w:p>
        </w:tc>
        <w:tc>
          <w:tcPr>
            <w:tcW w:w="130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20"/>
              </w:rPr>
              <w:t xml:space="preserve">Tỷ lệ</w:t>
            </w:r>
          </w:p>
        </w:tc>
        <w:tc>
          <w:tcPr>
            <w:tcW w:w="2000" w:type="dxa"/>
            <w:shd w:val="clear" w:color="auto" w:fill="F2F2F2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20"/>
              </w:rPr>
              <w:t xml:space="preserve">Số tiền (đồng)</w:t>
            </w:r>
          </w:p>
        </w:tc>
      </w:tr>
      <w:tr>
        <w:trPr>
          <w:cantSplit/>
          <w:jc w:val="center"/>
        </w:trPr>
        <w:tc>
          <w:tcPr>
            <w:tcW w:w="5200" w:type="dxa"/>
            <w:vAlign w:val="center"/>
          </w:tcPr>
          <w:p>
            <w:pPr>
              <w:spacing w:after="20" w:line="264" w:lineRule="auto"/>
              <w:jc w:val="lef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BHXH – Quỹ hưu trí, tử tuất</w:t>
            </w:r>
          </w:p>
        </w:tc>
        <w:tc>
          <w:tcPr>
            <w:tcW w:w="130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14%</w:t>
            </w:r>
          </w:p>
        </w:tc>
        <w:tc>
          <w:tcPr>
            <w:tcW w:w="200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1.400.000</w:t>
            </w:r>
          </w:p>
        </w:tc>
      </w:tr>
      <w:tr>
        <w:trPr>
          <w:cantSplit/>
          <w:jc w:val="center"/>
        </w:trPr>
        <w:tc>
          <w:tcPr>
            <w:tcW w:w="5200" w:type="dxa"/>
            <w:vAlign w:val="center"/>
          </w:tcPr>
          <w:p>
            <w:pPr>
              <w:spacing w:after="20" w:line="264" w:lineRule="auto"/>
              <w:jc w:val="lef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BHXH – Quỹ ốm đau, thai sản</w:t>
            </w:r>
          </w:p>
        </w:tc>
        <w:tc>
          <w:tcPr>
            <w:tcW w:w="130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3%</w:t>
            </w:r>
          </w:p>
        </w:tc>
        <w:tc>
          <w:tcPr>
            <w:tcW w:w="200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300.000</w:t>
            </w:r>
          </w:p>
        </w:tc>
      </w:tr>
      <w:tr>
        <w:trPr>
          <w:cantSplit/>
          <w:jc w:val="center"/>
        </w:trPr>
        <w:tc>
          <w:tcPr>
            <w:tcW w:w="5200" w:type="dxa"/>
            <w:vAlign w:val="center"/>
          </w:tcPr>
          <w:p>
            <w:pPr>
              <w:spacing w:after="20" w:line="264" w:lineRule="auto"/>
              <w:jc w:val="lef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Bảo hiểm tai nạn lao động, bệnh nghề nghiệp</w:t>
            </w:r>
          </w:p>
        </w:tc>
        <w:tc>
          <w:tcPr>
            <w:tcW w:w="130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0,5%</w:t>
            </w:r>
          </w:p>
        </w:tc>
        <w:tc>
          <w:tcPr>
            <w:tcW w:w="200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50.000</w:t>
            </w:r>
          </w:p>
        </w:tc>
      </w:tr>
      <w:tr>
        <w:trPr>
          <w:cantSplit/>
          <w:jc w:val="center"/>
        </w:trPr>
        <w:tc>
          <w:tcPr>
            <w:tcW w:w="5200" w:type="dxa"/>
            <w:vAlign w:val="center"/>
          </w:tcPr>
          <w:p>
            <w:pPr>
              <w:spacing w:after="20" w:line="264" w:lineRule="auto"/>
              <w:jc w:val="lef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Bảo hiểm y tế</w:t>
            </w:r>
          </w:p>
        </w:tc>
        <w:tc>
          <w:tcPr>
            <w:tcW w:w="130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3%</w:t>
            </w:r>
          </w:p>
        </w:tc>
        <w:tc>
          <w:tcPr>
            <w:tcW w:w="200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300.000</w:t>
            </w:r>
          </w:p>
        </w:tc>
      </w:tr>
      <w:tr>
        <w:trPr>
          <w:cantSplit/>
          <w:jc w:val="center"/>
        </w:trPr>
        <w:tc>
          <w:tcPr>
            <w:tcW w:w="5200" w:type="dxa"/>
            <w:vAlign w:val="center"/>
          </w:tcPr>
          <w:p>
            <w:pPr>
              <w:spacing w:after="20" w:line="264" w:lineRule="auto"/>
              <w:jc w:val="lef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Bảo hiểm thất nghiệp</w:t>
            </w:r>
          </w:p>
        </w:tc>
        <w:tc>
          <w:tcPr>
            <w:tcW w:w="130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1%</w:t>
            </w:r>
          </w:p>
        </w:tc>
        <w:tc>
          <w:tcPr>
            <w:tcW w:w="200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100.000</w:t>
            </w:r>
          </w:p>
        </w:tc>
      </w:tr>
      <w:tr>
        <w:trPr>
          <w:cantSplit/>
          <w:jc w:val="center"/>
        </w:trPr>
        <w:tc>
          <w:tcPr>
            <w:tcW w:w="5200" w:type="dxa"/>
            <w:vAlign w:val="center"/>
          </w:tcPr>
          <w:p>
            <w:pPr>
              <w:spacing w:after="20" w:line="264" w:lineRule="auto"/>
              <w:jc w:val="left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20"/>
              </w:rPr>
              <w:t xml:space="preserve">Cộng phần Công ty đóng</w:t>
            </w:r>
          </w:p>
        </w:tc>
        <w:tc>
          <w:tcPr>
            <w:tcW w:w="130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20"/>
              </w:rPr>
              <w:t xml:space="preserve">21,5%</w:t>
            </w:r>
          </w:p>
        </w:tc>
        <w:tc>
          <w:tcPr>
            <w:tcW w:w="200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20"/>
              </w:rPr>
              <w:t xml:space="preserve">2.150.000</w:t>
            </w:r>
          </w:p>
        </w:tc>
      </w:tr>
      <w:tr>
        <w:trPr>
          <w:cantSplit/>
          <w:jc w:val="center"/>
        </w:trPr>
        <w:tc>
          <w:tcPr>
            <w:tcW w:w="5200" w:type="dxa"/>
            <w:vAlign w:val="center"/>
          </w:tcPr>
          <w:p>
            <w:pPr>
              <w:spacing w:after="20" w:line="264" w:lineRule="auto"/>
              <w:jc w:val="lef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Phần Người lao động đóng (đã khấu trừ ở bảng trên)</w:t>
            </w:r>
          </w:p>
        </w:tc>
        <w:tc>
          <w:tcPr>
            <w:tcW w:w="130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10,5%</w:t>
            </w:r>
          </w:p>
        </w:tc>
        <w:tc>
          <w:tcPr>
            <w:tcW w:w="200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 w:val="0"/>
                <w:i w:val="0"/>
                <w:color w:val="000000"/>
                <w:sz w:val="20"/>
              </w:rPr>
              <w:t xml:space="preserve">1.050.000</w:t>
            </w:r>
          </w:p>
        </w:tc>
      </w:tr>
      <w:tr>
        <w:trPr>
          <w:cantSplit/>
          <w:jc w:val="center"/>
        </w:trPr>
        <w:tc>
          <w:tcPr>
            <w:tcW w:w="5200" w:type="dxa"/>
            <w:vAlign w:val="center"/>
          </w:tcPr>
          <w:p>
            <w:pPr>
              <w:spacing w:after="20" w:line="264" w:lineRule="auto"/>
              <w:jc w:val="left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20"/>
              </w:rPr>
              <w:t xml:space="preserve">Tổng số phải nộp cơ quan BHXH</w:t>
            </w:r>
          </w:p>
        </w:tc>
        <w:tc>
          <w:tcPr>
            <w:tcW w:w="1300" w:type="dxa"/>
            <w:vAlign w:val="center"/>
          </w:tcPr>
          <w:p>
            <w:pPr>
              <w:spacing w:after="20" w:line="264" w:lineRule="auto"/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20"/>
              </w:rPr>
              <w:t xml:space="preserve">32%</w:t>
            </w:r>
          </w:p>
        </w:tc>
        <w:tc>
          <w:tcPr>
            <w:tcW w:w="2000" w:type="dxa"/>
            <w:vAlign w:val="center"/>
          </w:tcPr>
          <w:p>
            <w:pPr>
              <w:spacing w:after="20" w:line="264" w:lineRule="auto"/>
              <w:jc w:val="right"/>
            </w:pPr>
            <w:r>
              <w:rPr>
                <w:rFonts w:ascii="Public Sans" w:hAnsi="Public Sans" w:eastAsia="Public Sans"/>
                <w:b/>
                <w:i w:val="0"/>
                <w:color w:val="000000"/>
                <w:sz w:val="20"/>
              </w:rPr>
              <w:t xml:space="preserve">3.200.000</w:t>
            </w:r>
          </w:p>
        </w:tc>
      </w:tr>
    </w:tbl>
    <w:p>
      <w:pPr>
        <w:spacing w:after="80"/>
      </w:pPr>
    </w:p>
    <w:p>
      <w:pPr>
        <w:keepNext/>
        <w:spacing w:before="140" w:after="80" w:line="276" w:lineRule="auto"/>
        <w:jc w:val="left"/>
      </w:pPr>
      <w:r>
        <w:rPr>
          <w:rFonts w:ascii="Public Sans" w:hAnsi="Public Sans" w:eastAsia="Public Sans"/>
          <w:b/>
          <w:i w:val="0"/>
          <w:color w:val="222222"/>
          <w:sz w:val="24"/>
        </w:rPr>
        <w:t xml:space="preserve">Ghi chú</w:t>
      </w:r>
    </w:p>
    <w:p>
      <w:pPr>
        <w:keepNext/>
        <w:spacing w:before="0" w:after="20" w:line="276" w:lineRule="auto"/>
        <w:jc w:val="left"/>
      </w:pPr>
      <w:r>
        <w:rPr>
          <w:rFonts w:ascii="Public Sans" w:hAnsi="Public Sans" w:eastAsia="Public Sans"/>
          <w:b w:val="0"/>
          <w:i w:val="0"/>
          <w:color w:val="222222"/>
          <w:sz w:val="24"/>
        </w:rPr>
        <w:t xml:space="preserve">Mức lương 10.000.000 đồng/tháng theo Hợp đồng lao động số 08/2026/HĐLĐ-DS và Nghị quyết/Quyết định số 07/2026/NQ-HĐTV, đã bao gồm toàn bộ phụ cấp; toàn bộ mức lương là căn cứ đóng bảo hiểm.</w:t>
      </w:r>
    </w:p>
    <w:p>
      <w:pPr>
        <w:keepNext/>
        <w:spacing w:before="0" w:after="20" w:line="276" w:lineRule="auto"/>
        <w:jc w:val="left"/>
      </w:pPr>
      <w:r>
        <w:rPr>
          <w:rFonts w:ascii="Public Sans" w:hAnsi="Public Sans" w:eastAsia="Public Sans"/>
          <w:b w:val="0"/>
          <w:i w:val="0"/>
          <w:color w:val="222222"/>
          <w:sz w:val="24"/>
        </w:rPr>
        <w:t xml:space="preserve">Thuế TNCN: thu nhập sau khi trừ bảo hiểm bắt buộc thấp hơn mức giảm trừ gia cảnh của bản thân nên không phát sinh thuế khấu trừ.</w:t>
      </w:r>
    </w:p>
    <w:p>
      <w:pPr>
        <w:keepNext/>
        <w:spacing w:before="0" w:after="20" w:line="276" w:lineRule="auto"/>
        <w:jc w:val="left"/>
      </w:pPr>
      <w:r>
        <w:rPr>
          <w:rFonts w:ascii="Public Sans" w:hAnsi="Public Sans" w:eastAsia="Public Sans"/>
          <w:b w:val="0"/>
          <w:i w:val="0"/>
          <w:color w:val="222222"/>
          <w:sz w:val="24"/>
        </w:rPr>
        <w:t xml:space="preserve">Tiền lương tháng 09/2026 chi trả bằng chuyển khoản, chậm nhất ngày 10/10/2026.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00"/>
        <w:gridCol w:w="4800"/>
        <w:gridCol w:w="4800"/>
      </w:tblGrid>
      <w:tr>
        <w:trPr>
          <w:cantSplit/>
        </w:trPr>
        <w:tc>
          <w:tcPr>
            <w:tcW w:type="dxa" w:w="4800"/>
          </w:tcPr>
          <w:p>
            <w:pPr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222222"/>
                <w:sz w:val="22"/>
              </w:rPr>
              <w:t xml:space="preserve">NGƯỜI LẬP BIỂU</w:t>
            </w:r>
          </w:p>
          <w:p>
            <w:pPr>
              <w:jc w:val="center"/>
            </w:pPr>
            <w:r>
              <w:rPr>
                <w:rFonts w:ascii="Public Sans" w:hAnsi="Public Sans" w:eastAsia="Public Sans"/>
                <w:b w:val="0"/>
                <w:i/>
                <w:color w:val="626262"/>
                <w:sz w:val="20"/>
              </w:rPr>
              <w:t xml:space="preserve">(Ký, ghi rõ họ tên)</w:t>
            </w:r>
          </w:p>
          <w:p/>
          <w:p/>
          <w:p/>
          <w:p/>
        </w:tc>
        <w:tc>
          <w:tcPr>
            <w:tcW w:type="dxa" w:w="4800"/>
          </w:tcPr>
          <w:p>
            <w:pPr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222222"/>
                <w:sz w:val="22"/>
              </w:rPr>
              <w:t xml:space="preserve">KẾ TOÁN</w:t>
            </w:r>
          </w:p>
          <w:p>
            <w:pPr>
              <w:jc w:val="center"/>
            </w:pPr>
            <w:r>
              <w:rPr>
                <w:rFonts w:ascii="Public Sans" w:hAnsi="Public Sans" w:eastAsia="Public Sans"/>
                <w:b w:val="0"/>
                <w:i/>
                <w:color w:val="626262"/>
                <w:sz w:val="20"/>
              </w:rPr>
              <w:t xml:space="preserve">(Ký, ghi rõ họ tên)</w:t>
            </w:r>
          </w:p>
          <w:p/>
          <w:p/>
          <w:p/>
          <w:p/>
        </w:tc>
        <w:tc>
          <w:tcPr>
            <w:tcW w:type="dxa" w:w="4800"/>
          </w:tcPr>
          <w:p>
            <w:pPr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222222"/>
                <w:sz w:val="22"/>
              </w:rPr>
              <w:t xml:space="preserve">NGƯỜI DUYỆT</w:t>
            </w:r>
          </w:p>
          <w:p>
            <w:pPr>
              <w:jc w:val="center"/>
            </w:pPr>
            <w:r>
              <w:rPr>
                <w:rFonts w:ascii="Public Sans" w:hAnsi="Public Sans" w:eastAsia="Public Sans"/>
                <w:b/>
                <w:i w:val="0"/>
                <w:color w:val="222222"/>
                <w:sz w:val="22"/>
              </w:rPr>
              <w:t xml:space="preserve">CHỦ TỊCH HỘI ĐỒNG THÀNH VIÊN</w:t>
            </w:r>
          </w:p>
          <w:p>
            <w:pPr>
              <w:jc w:val="center"/>
            </w:pPr>
            <w:r>
              <w:rPr>
                <w:rFonts w:ascii="Public Sans" w:hAnsi="Public Sans" w:eastAsia="Public Sans"/>
                <w:b w:val="0"/>
                <w:i/>
                <w:color w:val="626262"/>
                <w:sz w:val="20"/>
              </w:rPr>
              <w:t xml:space="preserve">(Nguyễn Duy Quang)</w:t>
            </w:r>
          </w:p>
          <w:p/>
          <w:p/>
          <w:p/>
          <w:p/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080" w:right="720" w:bottom="1080" w:left="720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40"/>
      <w:pBdr>
        <w:top w:val="single" w:sz="8" w:space="1" w:color="000000"/>
      </w:pBdr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4800"/>
      <w:gridCol w:w="4800"/>
      <w:gridCol w:w="4800"/>
    </w:tblGrid>
    <w:tr>
      <w:tc>
        <w:tcPr>
          <w:tcW w:type="dxa" w:w="4800"/>
        </w:tcPr>
        <w:p>
          <w:pPr>
            <w:jc w:val="left"/>
          </w:pPr>
          <w:r/>
          <w:r>
            <w:rPr>
              <w:rFonts w:ascii="Public Sans" w:hAnsi="Public Sans" w:eastAsia="Public Sans"/>
              <w:b/>
              <w:color w:val="000000"/>
              <w:sz w:val="17"/>
            </w:rPr>
            <w:t>DS Corporation</w:t>
          </w:r>
        </w:p>
      </w:tc>
      <w:tc>
        <w:tcPr>
          <w:tcW w:type="dxa" w:w="4800"/>
        </w:tcPr>
        <w:p>
          <w:pPr>
            <w:jc w:val="center"/>
          </w:pPr>
          <w:r/>
          <w:r>
            <w:rPr>
              <w:rFonts w:ascii="Public Sans" w:hAnsi="Public Sans" w:eastAsia="Public Sans"/>
              <w:color w:val="000000"/>
              <w:sz w:val="16"/>
            </w:rPr>
            <w:t>Bảng thanh toán tiền lương tháng 09/2026</w:t>
          </w:r>
        </w:p>
      </w:tc>
      <w:tc>
        <w:tcPr>
          <w:tcW w:type="dxa" w:w="4800"/>
        </w:tcPr>
        <w:p>
          <w:pPr>
            <w:jc w:val="right"/>
          </w:pPr>
          <w:r/>
          <w:r>
            <w:rPr>
              <w:rFonts w:ascii="Public Sans" w:hAnsi="Public Sans" w:eastAsia="Public Sans"/>
              <w:color w:val="626262"/>
              <w:sz w:val="18"/>
            </w:rPr>
            <w:t xml:space="preserve">Page </w:t>
          </w:r>
          <w:r>
            <w:rPr>
              <w:rFonts w:ascii="Public Sans" w:hAnsi="Public Sans" w:eastAsia="Public Sans"/>
              <w:color w:val="626262"/>
              <w:sz w:val="18"/>
            </w:rPr>
            <w:fldChar w:fldCharType="begin"/>
            <w:instrText xml:space="preserve"> PAGE </w:instrText>
            <w:fldChar w:fldCharType="end"/>
          </w:r>
          <w:r>
            <w:rPr>
              <w:rFonts w:ascii="Public Sans" w:hAnsi="Public Sans" w:eastAsia="Public Sans"/>
              <w:color w:val="626262"/>
              <w:sz w:val="18"/>
            </w:rPr>
            <w:t xml:space="preserve"> / </w:t>
          </w:r>
          <w:r>
            <w:rPr>
              <w:rFonts w:ascii="Public Sans" w:hAnsi="Public Sans" w:eastAsia="Public Sans"/>
              <w:color w:val="626262"/>
              <w:sz w:val="18"/>
            </w:rPr>
            <w:fldChar w:fldCharType="begin"/>
            <w:instrText xml:space="preserve"> NUMPAGES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400"/>
      <w:gridCol w:w="9000"/>
    </w:tblGrid>
    <w:tr>
      <w:tc>
        <w:tcPr>
          <w:tcW w:type="dxa" w:w="5400"/>
        </w:tcPr>
        <w:p>
          <w:pPr>
            <w:spacing w:after="0" w:line="240" w:lineRule="auto"/>
            <w:jc w:val="left"/>
          </w:pPr>
          <w:r>
            <w:rPr>
              <w:rFonts w:ascii="Public Sans" w:hAnsi="Public Sans" w:eastAsia="Public Sans"/>
              <w:b/>
              <w:color w:val="000000"/>
              <w:sz w:val="33"/>
            </w:rPr>
            <w:t>DS Corporation</w:t>
          </w:r>
        </w:p>
        <w:p>
          <w:pPr>
            <w:spacing w:before="0" w:after="0" w:line="240" w:lineRule="auto"/>
            <w:jc w:val="left"/>
          </w:pPr>
          <w:r>
            <w:rPr>
              <w:rFonts w:ascii="Public Sans" w:hAnsi="Public Sans" w:eastAsia="Public Sans"/>
              <w:color w:val="000000"/>
              <w:sz w:val="18"/>
            </w:rPr>
            <w:t>CÔNG TY TNHH DS CORPORATION</w:t>
          </w:r>
        </w:p>
      </w:tc>
      <w:tc>
        <w:tcPr>
          <w:tcW w:type="dxa" w:w="9000"/>
        </w:tcPr>
        <w:p>
          <w:pPr>
            <w:spacing w:after="0" w:line="240" w:lineRule="auto"/>
            <w:jc w:val="right"/>
          </w:pPr>
          <w:r>
            <w:rPr>
              <w:rFonts w:ascii="Public Sans" w:hAnsi="Public Sans" w:eastAsia="Public Sans"/>
              <w:b/>
              <w:color w:val="000000"/>
              <w:sz w:val="17"/>
            </w:rPr>
            <w:t>Mã số doanh nghiệp: 0111537512</w:t>
          </w:r>
        </w:p>
        <w:p>
          <w:pPr>
            <w:spacing w:before="0" w:after="0" w:line="240" w:lineRule="auto"/>
            <w:jc w:val="right"/>
          </w:pPr>
          <w:r>
            <w:rPr>
              <w:rFonts w:ascii="Public Sans" w:hAnsi="Public Sans" w:eastAsia="Public Sans"/>
              <w:color w:val="000000"/>
              <w:sz w:val="17"/>
            </w:rPr>
            <w:t>Tầng 4, Tòa nhà Sannam, số 78 phố Duy Tân, Phường Cầu Giấy, Thành phố Hà Nội, Việt Nam</w:t>
          </w:r>
        </w:p>
        <w:p>
          <w:pPr>
            <w:spacing w:before="0" w:after="0" w:line="240" w:lineRule="auto"/>
            <w:jc w:val="right"/>
          </w:pPr>
          <w:r>
            <w:rPr>
              <w:rFonts w:ascii="Public Sans" w:hAnsi="Public Sans" w:eastAsia="Public Sans"/>
              <w:color w:val="000000"/>
              <w:sz w:val="17"/>
            </w:rPr>
            <w:t>dsgroup.info26@gmail.com  |  0912.789.788</w:t>
          </w:r>
        </w:p>
      </w:tc>
    </w:tr>
  </w:tbl>
  <w:p>
    <w:pPr>
      <w:spacing w:before="100" w:after="200"/>
      <w:pBdr>
        <w:bottom w:val="single" w:sz="8" w:space="1" w:color="000000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ublic Sans" w:hAnsi="Public Sans" w:eastAsia="Public Sans"/>
      <w:color w:val="22222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