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Public Sans" w:hAnsi="Public Sans" w:eastAsia="Public Sans"/>
          <w:b w:val="0"/>
          <w:i w:val="0"/>
          <w:color w:val="000000"/>
          <w:sz w:val="36"/>
        </w:rPr>
        <w:t>BIÊN BẢN HỌP HỘI ĐỒNG THÀNH VIÊN</w:t>
      </w:r>
    </w:p>
    <w:p>
      <w:pPr>
        <w:spacing w:before="0" w:after="160" w:line="276" w:lineRule="auto"/>
        <w:jc w:val="center"/>
      </w:pPr>
      <w:r>
        <w:rPr>
          <w:rFonts w:ascii="Public Sans" w:hAnsi="Public Sans" w:eastAsia="Public Sans"/>
          <w:b w:val="0"/>
          <w:i/>
          <w:color w:val="000000"/>
          <w:sz w:val="22"/>
        </w:rPr>
        <w:t>Về việc ủy quyền cho Tổng giám đốc thực hiện công việc điều hành và ký giao dịch hợp đồng</w:t>
      </w:r>
    </w:p>
    <w:p>
      <w:pPr>
        <w:spacing w:before="0" w:after="240" w:line="240" w:lineRule="auto"/>
        <w:jc w:val="center"/>
      </w:pPr>
      <w:r/>
      <w:r>
        <w:rPr>
          <w:rFonts w:ascii="Public Sans" w:hAnsi="Public Sans" w:eastAsia="Public Sans"/>
          <w:color w:val="000000"/>
          <w:sz w:val="20"/>
        </w:rPr>
        <w:t>Số: 03/2026/BBH-HĐTV   |   Ngày: 18/06/2026</w:t>
      </w:r>
    </w:p>
    <w:p>
      <w:pPr>
        <w:spacing w:before="140" w:after="80" w:line="276" w:lineRule="auto"/>
        <w:jc w:val="left"/>
      </w:pPr>
      <w:r>
        <w:rPr>
          <w:rFonts w:ascii="Public Sans" w:hAnsi="Public Sans" w:eastAsia="Public Sans"/>
          <w:b/>
          <w:i w:val="0"/>
          <w:color w:val="222222"/>
          <w:sz w:val="24"/>
        </w:rPr>
        <w:t>Thông tin doanh nghiệp</w:t>
      </w:r>
    </w:p>
    <w:p>
      <w:pPr>
        <w:spacing w:before="0" w:after="20" w:line="276" w:lineRule="auto"/>
        <w:jc w:val="left"/>
      </w:pPr>
      <w:r>
        <w:rPr>
          <w:rFonts w:ascii="Public Sans" w:hAnsi="Public Sans" w:eastAsia="Public Sans"/>
          <w:b w:val="0"/>
          <w:i w:val="0"/>
          <w:color w:val="222222"/>
          <w:sz w:val="24"/>
        </w:rPr>
        <w:t>Tên doanh nghiệp: CÔNG TY TNHH DS CORPORATION</w:t>
      </w:r>
    </w:p>
    <w:p>
      <w:pPr>
        <w:spacing w:before="0" w:after="20" w:line="276" w:lineRule="auto"/>
        <w:jc w:val="left"/>
      </w:pPr>
      <w:r>
        <w:rPr>
          <w:rFonts w:ascii="Public Sans" w:hAnsi="Public Sans" w:eastAsia="Public Sans"/>
          <w:b w:val="0"/>
          <w:i w:val="0"/>
          <w:color w:val="222222"/>
          <w:sz w:val="24"/>
        </w:rPr>
        <w:t>Tên tiếng Anh: DS CORPORATION COMPANY LIMITED</w:t>
      </w:r>
    </w:p>
    <w:p>
      <w:pPr>
        <w:spacing w:before="0" w:after="20" w:line="276" w:lineRule="auto"/>
        <w:jc w:val="left"/>
      </w:pPr>
      <w:r>
        <w:rPr>
          <w:rFonts w:ascii="Public Sans" w:hAnsi="Public Sans" w:eastAsia="Public Sans"/>
          <w:b w:val="0"/>
          <w:i w:val="0"/>
          <w:color w:val="222222"/>
          <w:sz w:val="24"/>
        </w:rPr>
        <w:t>Tên viết tắt: DS CORPORATION CO., LTD</w:t>
      </w:r>
    </w:p>
    <w:p>
      <w:pPr>
        <w:spacing w:before="0" w:after="20" w:line="276" w:lineRule="auto"/>
        <w:jc w:val="left"/>
      </w:pPr>
      <w:r>
        <w:rPr>
          <w:rFonts w:ascii="Public Sans" w:hAnsi="Public Sans" w:eastAsia="Public Sans"/>
          <w:b w:val="0"/>
          <w:i w:val="0"/>
          <w:color w:val="222222"/>
          <w:sz w:val="24"/>
        </w:rPr>
        <w:t>Mã số doanh nghiệp: 0111537512</w:t>
      </w:r>
    </w:p>
    <w:p>
      <w:pPr>
        <w:spacing w:before="0" w:after="20" w:line="276" w:lineRule="auto"/>
        <w:jc w:val="left"/>
      </w:pPr>
      <w:r>
        <w:rPr>
          <w:rFonts w:ascii="Public Sans" w:hAnsi="Public Sans" w:eastAsia="Public Sans"/>
          <w:b w:val="0"/>
          <w:i w:val="0"/>
          <w:color w:val="222222"/>
          <w:sz w:val="24"/>
        </w:rPr>
        <w:t>Ngày đăng ký lần đầu: 16/06/2026</w:t>
      </w:r>
    </w:p>
    <w:p>
      <w:pPr>
        <w:spacing w:before="0" w:after="20" w:line="276" w:lineRule="auto"/>
        <w:jc w:val="left"/>
      </w:pPr>
      <w:r>
        <w:rPr>
          <w:rFonts w:ascii="Public Sans" w:hAnsi="Public Sans" w:eastAsia="Public Sans"/>
          <w:b w:val="0"/>
          <w:i w:val="0"/>
          <w:color w:val="222222"/>
          <w:sz w:val="24"/>
        </w:rPr>
        <w:t>Vốn điều lệ: 1.000.000.000 đồng (Một tỷ đồng)</w:t>
      </w:r>
    </w:p>
    <w:p>
      <w:pPr>
        <w:spacing w:before="0" w:after="20" w:line="276" w:lineRule="auto"/>
        <w:jc w:val="left"/>
      </w:pPr>
      <w:r>
        <w:rPr>
          <w:rFonts w:ascii="Public Sans" w:hAnsi="Public Sans" w:eastAsia="Public Sans"/>
          <w:b w:val="0"/>
          <w:i w:val="0"/>
          <w:color w:val="222222"/>
          <w:sz w:val="24"/>
        </w:rPr>
        <w:t>Địa chỉ trụ sở chính: Tầng 4, Tòa nhà Đannam, số 78 phố Duy Tân, Phường Cầu Giấy, Thành phố Hà Nội, Việt Nam</w:t>
      </w:r>
    </w:p>
    <w:p>
      <w:pPr>
        <w:spacing w:before="0" w:after="20" w:line="276" w:lineRule="auto"/>
        <w:jc w:val="left"/>
      </w:pPr>
      <w:r>
        <w:rPr>
          <w:rFonts w:ascii="Public Sans" w:hAnsi="Public Sans" w:eastAsia="Public Sans"/>
          <w:b w:val="0"/>
          <w:i w:val="0"/>
          <w:color w:val="222222"/>
          <w:sz w:val="24"/>
        </w:rPr>
        <w:t>Điện thoại: 0912.789.788</w:t>
      </w:r>
    </w:p>
    <w:p>
      <w:pPr>
        <w:spacing w:before="0" w:after="20" w:line="276" w:lineRule="auto"/>
        <w:jc w:val="left"/>
      </w:pPr>
      <w:r>
        <w:rPr>
          <w:rFonts w:ascii="Public Sans" w:hAnsi="Public Sans" w:eastAsia="Public Sans"/>
          <w:b w:val="0"/>
          <w:i w:val="0"/>
          <w:color w:val="222222"/>
          <w:sz w:val="24"/>
        </w:rPr>
        <w:t>Email: dsgroup.info26@gmail.com</w:t>
      </w:r>
    </w:p>
    <w:p>
      <w:pPr>
        <w:spacing w:before="140" w:after="80" w:line="276" w:lineRule="auto"/>
        <w:jc w:val="left"/>
      </w:pPr>
      <w:r>
        <w:rPr>
          <w:rFonts w:ascii="Public Sans" w:hAnsi="Public Sans" w:eastAsia="Public Sans"/>
          <w:b/>
          <w:i w:val="0"/>
          <w:color w:val="222222"/>
          <w:sz w:val="24"/>
        </w:rPr>
        <w:t>1. Thành phần tham dự</w:t>
      </w:r>
    </w:p>
    <w:p>
      <w:pPr>
        <w:spacing w:before="0" w:after="80" w:line="276" w:lineRule="auto"/>
        <w:jc w:val="left"/>
      </w:pPr>
      <w:r>
        <w:rPr>
          <w:rFonts w:ascii="Public Sans" w:hAnsi="Public Sans" w:eastAsia="Public Sans"/>
          <w:b w:val="0"/>
          <w:i w:val="0"/>
          <w:color w:val="222222"/>
          <w:sz w:val="24"/>
        </w:rPr>
        <w:t>Thành viên 1: NGUYỄN DUY QUANG | Tỷ lệ vốn góp: 70%</w:t>
      </w:r>
    </w:p>
    <w:p>
      <w:pPr>
        <w:spacing w:before="0" w:after="80" w:line="276" w:lineRule="auto"/>
        <w:jc w:val="left"/>
      </w:pPr>
      <w:r>
        <w:rPr>
          <w:rFonts w:ascii="Public Sans" w:hAnsi="Public Sans" w:eastAsia="Public Sans"/>
          <w:b w:val="0"/>
          <w:i w:val="0"/>
          <w:color w:val="222222"/>
          <w:sz w:val="24"/>
        </w:rPr>
        <w:t>Số giấy tờ pháp lý: 019079011996 | Địa chỉ liên lạc: Xóm Đồi Chè, Cổ Lũng, Phú Lương, Thái Nguyên</w:t>
      </w:r>
    </w:p>
    <w:p>
      <w:pPr>
        <w:spacing w:before="0" w:after="80" w:line="276" w:lineRule="auto"/>
        <w:jc w:val="left"/>
      </w:pPr>
      <w:r>
        <w:rPr>
          <w:rFonts w:ascii="Public Sans" w:hAnsi="Public Sans" w:eastAsia="Public Sans"/>
          <w:b w:val="0"/>
          <w:i w:val="0"/>
          <w:color w:val="222222"/>
          <w:sz w:val="24"/>
        </w:rPr>
        <w:t>Thành viên 2: TRƯƠNG NGỌC ÁNH | Tỷ lệ vốn góp: 30%</w:t>
      </w:r>
    </w:p>
    <w:p>
      <w:pPr>
        <w:spacing w:before="0" w:after="80" w:line="276" w:lineRule="auto"/>
        <w:jc w:val="left"/>
      </w:pPr>
      <w:r>
        <w:rPr>
          <w:rFonts w:ascii="Public Sans" w:hAnsi="Public Sans" w:eastAsia="Public Sans"/>
          <w:b w:val="0"/>
          <w:i w:val="0"/>
          <w:color w:val="222222"/>
          <w:sz w:val="24"/>
        </w:rPr>
        <w:t>Số giấy tờ pháp lý: 038300012306 | Địa chỉ liên lạc: TDP Thanh Bình, Phường Ngọc Sơn, Tỉnh Thanh Hóa, Việt Nam</w:t>
      </w:r>
    </w:p>
    <w:p>
      <w:pPr>
        <w:spacing w:before="0" w:after="80" w:line="276" w:lineRule="auto"/>
        <w:jc w:val="left"/>
      </w:pPr>
      <w:r>
        <w:rPr>
          <w:rFonts w:ascii="Public Sans" w:hAnsi="Public Sans" w:eastAsia="Public Sans"/>
          <w:b w:val="0"/>
          <w:i w:val="0"/>
          <w:color w:val="222222"/>
          <w:sz w:val="24"/>
        </w:rPr>
        <w:t>Tổng tỷ lệ vốn góp của thành viên tham dự họp: 100%</w:t>
      </w:r>
    </w:p>
    <w:p>
      <w:pPr>
        <w:spacing w:before="140" w:after="80" w:line="276" w:lineRule="auto"/>
        <w:jc w:val="left"/>
      </w:pPr>
      <w:r>
        <w:rPr>
          <w:rFonts w:ascii="Public Sans" w:hAnsi="Public Sans" w:eastAsia="Public Sans"/>
          <w:b/>
          <w:i w:val="0"/>
          <w:color w:val="222222"/>
          <w:sz w:val="24"/>
        </w:rPr>
        <w:t>2. Chủ tọa và thư ký</w:t>
      </w:r>
    </w:p>
    <w:p>
      <w:pPr>
        <w:spacing w:before="0" w:after="80" w:line="276" w:lineRule="auto"/>
        <w:jc w:val="left"/>
      </w:pPr>
      <w:r>
        <w:rPr>
          <w:rFonts w:ascii="Public Sans" w:hAnsi="Public Sans" w:eastAsia="Public Sans"/>
          <w:b w:val="0"/>
          <w:i w:val="0"/>
          <w:color w:val="222222"/>
          <w:sz w:val="24"/>
        </w:rPr>
        <w:t>Chủ tọa cuộc họp: NGUYỄN DUY QUANG</w:t>
      </w:r>
    </w:p>
    <w:p>
      <w:pPr>
        <w:spacing w:before="0" w:after="80" w:line="276" w:lineRule="auto"/>
        <w:jc w:val="left"/>
      </w:pPr>
      <w:r>
        <w:rPr>
          <w:rFonts w:ascii="Public Sans" w:hAnsi="Public Sans" w:eastAsia="Public Sans"/>
          <w:b w:val="0"/>
          <w:i w:val="0"/>
          <w:color w:val="222222"/>
          <w:sz w:val="24"/>
        </w:rPr>
        <w:t>Thư ký cuộc họp: TRƯƠNG NGỌC ÁNH</w:t>
      </w:r>
    </w:p>
    <w:p>
      <w:pPr>
        <w:spacing w:before="140" w:after="80" w:line="276" w:lineRule="auto"/>
        <w:jc w:val="left"/>
      </w:pPr>
      <w:r>
        <w:rPr>
          <w:rFonts w:ascii="Public Sans" w:hAnsi="Public Sans" w:eastAsia="Public Sans"/>
          <w:b/>
          <w:i w:val="0"/>
          <w:color w:val="222222"/>
          <w:sz w:val="24"/>
        </w:rPr>
        <w:t>3. Thời gian, địa điểm và nội dung họp</w:t>
      </w:r>
    </w:p>
    <w:p>
      <w:pPr>
        <w:spacing w:before="0" w:after="80" w:line="276" w:lineRule="auto"/>
        <w:jc w:val="left"/>
      </w:pPr>
      <w:r>
        <w:rPr>
          <w:rFonts w:ascii="Public Sans" w:hAnsi="Public Sans" w:eastAsia="Public Sans"/>
          <w:b w:val="0"/>
          <w:i w:val="0"/>
          <w:color w:val="222222"/>
          <w:sz w:val="24"/>
        </w:rPr>
        <w:t>Thời gian họp: 10:00, ngày 18/06/2026</w:t>
      </w:r>
    </w:p>
    <w:p>
      <w:pPr>
        <w:spacing w:before="0" w:after="80" w:line="276" w:lineRule="auto"/>
        <w:jc w:val="left"/>
      </w:pPr>
      <w:r>
        <w:rPr>
          <w:rFonts w:ascii="Public Sans" w:hAnsi="Public Sans" w:eastAsia="Public Sans"/>
          <w:b w:val="0"/>
          <w:i w:val="0"/>
          <w:color w:val="222222"/>
          <w:sz w:val="24"/>
        </w:rPr>
        <w:t>Địa điểm họp: Tầng 4, Tòa nhà Đannam, số 78 phố Duy Tân, Phường Cầu Giấy, Thành phố Hà Nội, Việt Nam</w:t>
      </w:r>
    </w:p>
    <w:p>
      <w:pPr>
        <w:spacing w:before="0" w:after="80" w:line="276" w:lineRule="auto"/>
        <w:jc w:val="left"/>
      </w:pPr>
      <w:r>
        <w:rPr>
          <w:rFonts w:ascii="Public Sans" w:hAnsi="Public Sans" w:eastAsia="Public Sans"/>
          <w:b w:val="0"/>
          <w:i w:val="0"/>
          <w:color w:val="222222"/>
          <w:sz w:val="24"/>
        </w:rPr>
        <w:t>Nội dung họp: xem xét việc ủy quyền cho Bà Trương Ngọc Ánh, Tổng giám đốc, thực hiện một số công việc điều hành và ký kết các giao dịch, hợp đồng phục vụ hoạt động thường xuyên của Công ty ngay sau khi thành lập.</w:t>
      </w:r>
    </w:p>
    <w:p>
      <w:pPr>
        <w:spacing w:before="140" w:after="80" w:line="276" w:lineRule="auto"/>
        <w:jc w:val="left"/>
      </w:pPr>
      <w:r>
        <w:rPr>
          <w:rFonts w:ascii="Public Sans" w:hAnsi="Public Sans" w:eastAsia="Public Sans"/>
          <w:b/>
          <w:i w:val="0"/>
          <w:color w:val="222222"/>
          <w:sz w:val="24"/>
        </w:rPr>
        <w:t>4. Nội dung thảo luận</w:t>
      </w:r>
    </w:p>
    <w:p>
      <w:pPr>
        <w:spacing w:before="0" w:after="80" w:line="276" w:lineRule="auto"/>
        <w:jc w:val="left"/>
      </w:pPr>
      <w:r>
        <w:rPr>
          <w:rFonts w:ascii="Public Sans" w:hAnsi="Public Sans" w:eastAsia="Public Sans"/>
          <w:b w:val="0"/>
          <w:i w:val="0"/>
          <w:color w:val="222222"/>
          <w:sz w:val="24"/>
        </w:rPr>
        <w:t>Các thành viên thống nhất rằng trong giai đoạn đầu hoạt động, Công ty cần một cơ chế điều hành linh hoạt để Tổng giám đốc có thể chủ động triển khai các công việc thường xuyên, làm việc với khách hàng, nhà cung cấp và ký các giấy tờ nghiệp vụ cần thiết để vận hành bộ máy của Công ty.</w:t>
      </w:r>
    </w:p>
    <w:p>
      <w:pPr>
        <w:spacing w:before="0" w:after="80" w:line="276" w:lineRule="auto"/>
        <w:jc w:val="left"/>
      </w:pPr>
      <w:r>
        <w:rPr>
          <w:rFonts w:ascii="Public Sans" w:hAnsi="Public Sans" w:eastAsia="Public Sans"/>
          <w:b w:val="0"/>
          <w:i w:val="0"/>
          <w:color w:val="222222"/>
          <w:sz w:val="24"/>
        </w:rPr>
        <w:t>Để bảo đảm vừa chủ động vận hành vừa kiểm soát rủi ro, các thành viên thống nhất ủy quyền cho Bà Trương Ngọc Ánh được điều hành công việc thường xuyên và ký các hợp đồng, giao dịch phục vụ hoạt động của Công ty trong hạn mức từng giao dịch dưới 200.000.000 đồng. Phần thanh toán, ký ủy nhiệm chi và ra lệnh chi tiền từ tài khoản ngân hàng vẫn thuộc thẩm quyền kiểm soát riêng của người có thẩm quyền và không nằm trong phạm vi ủy quyền này.</w:t>
      </w:r>
    </w:p>
    <w:p>
      <w:pPr>
        <w:spacing w:before="140" w:after="80" w:line="276" w:lineRule="auto"/>
        <w:jc w:val="left"/>
      </w:pPr>
      <w:r>
        <w:rPr>
          <w:rFonts w:ascii="Public Sans" w:hAnsi="Public Sans" w:eastAsia="Public Sans"/>
          <w:b/>
          <w:i w:val="0"/>
          <w:color w:val="222222"/>
          <w:sz w:val="24"/>
        </w:rPr>
        <w:t>5. Phạm vi ủy quyền được thảo luận và thống nhất</w:t>
      </w:r>
    </w:p>
    <w:p>
      <w:pPr>
        <w:spacing w:before="0" w:after="40" w:line="276" w:lineRule="auto"/>
        <w:jc w:val="left"/>
      </w:pPr>
      <w:r>
        <w:rPr>
          <w:rFonts w:ascii="Public Sans" w:hAnsi="Public Sans" w:eastAsia="Public Sans"/>
          <w:b w:val="0"/>
          <w:i w:val="0"/>
          <w:color w:val="222222"/>
          <w:sz w:val="24"/>
        </w:rPr>
        <w:t>1. Ký, sửa đổi, bổ sung, gia hạn, thanh lý các hợp đồng mua bán hàng hóa, cung ứng dịch vụ, thuê tài sản, thuê dịch vụ, đặt hàng và các giao dịch thương mại thông thường phục vụ hoạt động thường xuyên của Công ty, với giá trị từng giao dịch dưới 200.000.000 đồng.</w:t>
      </w:r>
    </w:p>
    <w:p>
      <w:pPr>
        <w:spacing w:before="0" w:after="40" w:line="276" w:lineRule="auto"/>
        <w:jc w:val="left"/>
      </w:pPr>
      <w:r>
        <w:rPr>
          <w:rFonts w:ascii="Public Sans" w:hAnsi="Public Sans" w:eastAsia="Public Sans"/>
          <w:b w:val="0"/>
          <w:i w:val="0"/>
          <w:color w:val="222222"/>
          <w:sz w:val="24"/>
        </w:rPr>
        <w:t>2. Ký báo giá, đơn đặt hàng, xác nhận đơn hàng, thư chào hàng, xác nhận giao dịch, đề nghị cung cấp dịch vụ và các văn bản giao dịch tương đương với khách hàng, nhà cung cấp, đối tác.</w:t>
      </w:r>
    </w:p>
    <w:p>
      <w:pPr>
        <w:spacing w:before="0" w:after="40" w:line="276" w:lineRule="auto"/>
        <w:jc w:val="left"/>
      </w:pPr>
      <w:r>
        <w:rPr>
          <w:rFonts w:ascii="Public Sans" w:hAnsi="Public Sans" w:eastAsia="Public Sans"/>
          <w:b w:val="0"/>
          <w:i w:val="0"/>
          <w:color w:val="222222"/>
          <w:sz w:val="24"/>
        </w:rPr>
        <w:t>3. Ký phụ lục hợp đồng, biên bản giao nhận, biên bản nghiệm thu, biên bản bàn giao, biên bản xác nhận khối lượng, biên bản đối chiếu công nợ, biên bản thanh lý và các tài liệu nghiệp vụ liên quan đến các hợp đồng đã được phép ký.</w:t>
      </w:r>
    </w:p>
    <w:p>
      <w:pPr>
        <w:spacing w:before="0" w:after="40" w:line="276" w:lineRule="auto"/>
        <w:jc w:val="left"/>
      </w:pPr>
      <w:r>
        <w:rPr>
          <w:rFonts w:ascii="Public Sans" w:hAnsi="Public Sans" w:eastAsia="Public Sans"/>
          <w:b w:val="0"/>
          <w:i w:val="0"/>
          <w:color w:val="222222"/>
          <w:sz w:val="24"/>
        </w:rPr>
        <w:t>4. Làm việc, trao đổi, thương lượng và ký các văn bản hành chính, vận hành, kỹ thuật hoặc thương mại thông thường với khách hàng, nhà cung cấp, đơn vị vận chuyển, kho bãi, quảng cáo, tư vấn, công nghệ, truyền thông và các đối tác phục vụ hoạt động ban đầu của Công ty.</w:t>
      </w:r>
    </w:p>
    <w:p>
      <w:pPr>
        <w:spacing w:before="0" w:after="40" w:line="276" w:lineRule="auto"/>
        <w:jc w:val="left"/>
      </w:pPr>
      <w:r>
        <w:rPr>
          <w:rFonts w:ascii="Public Sans" w:hAnsi="Public Sans" w:eastAsia="Public Sans"/>
          <w:b w:val="0"/>
          <w:i w:val="0"/>
          <w:color w:val="222222"/>
          <w:sz w:val="24"/>
        </w:rPr>
        <w:t>5. Ký các văn bản nội bộ phục vụ điều hành thường xuyên như đề nghị mua sắm, đề nghị triển khai công việc, thông báo điều hành, phân công công việc, xác nhận kế hoạch triển khai và các biểu mẫu quản trị nội bộ thông thường.</w:t>
      </w:r>
    </w:p>
    <w:p>
      <w:pPr>
        <w:spacing w:before="0" w:after="40" w:line="276" w:lineRule="auto"/>
        <w:jc w:val="left"/>
      </w:pPr>
      <w:r>
        <w:rPr>
          <w:rFonts w:ascii="Public Sans" w:hAnsi="Public Sans" w:eastAsia="Public Sans"/>
          <w:b w:val="0"/>
          <w:i w:val="0"/>
          <w:color w:val="222222"/>
          <w:sz w:val="24"/>
        </w:rPr>
        <w:t>6. Ký hồ sơ tuyển dụng, tiếp nhận nhân sự, thư mời nhận việc, hợp đồng thử việc, hợp đồng lao động và các biểu mẫu nhân sự thông thường trong phạm vi ngân sách và cơ cấu nhân sự đã được Chủ tịch Hội đồng thành viên hoặc Công ty phê duyệt.</w:t>
      </w:r>
    </w:p>
    <w:p>
      <w:pPr>
        <w:spacing w:before="0" w:after="40" w:line="276" w:lineRule="auto"/>
        <w:jc w:val="left"/>
      </w:pPr>
      <w:r>
        <w:rPr>
          <w:rFonts w:ascii="Public Sans" w:hAnsi="Public Sans" w:eastAsia="Public Sans"/>
          <w:b w:val="0"/>
          <w:i w:val="0"/>
          <w:color w:val="222222"/>
          <w:sz w:val="24"/>
        </w:rPr>
        <w:t>7. Đại diện Công ty làm việc với cơ quan, tổ chức, đối tác và nhà cung cấp về các công việc vận hành thường xuyên phù hợp với chức năng Tổng giám đốc và nội dung ủy quyền này.</w:t>
      </w:r>
    </w:p>
    <w:p>
      <w:pPr>
        <w:spacing w:before="140" w:after="80" w:line="276" w:lineRule="auto"/>
        <w:jc w:val="left"/>
      </w:pPr>
      <w:r>
        <w:rPr>
          <w:rFonts w:ascii="Public Sans" w:hAnsi="Public Sans" w:eastAsia="Public Sans"/>
          <w:b/>
          <w:i w:val="0"/>
          <w:color w:val="222222"/>
          <w:sz w:val="24"/>
        </w:rPr>
        <w:t>Giới hạn ủy quyền</w:t>
      </w:r>
    </w:p>
    <w:p>
      <w:pPr>
        <w:spacing w:before="0" w:after="40" w:line="276" w:lineRule="auto"/>
        <w:jc w:val="left"/>
      </w:pPr>
      <w:r>
        <w:rPr>
          <w:rFonts w:ascii="Public Sans" w:hAnsi="Public Sans" w:eastAsia="Public Sans"/>
          <w:b w:val="0"/>
          <w:i w:val="0"/>
          <w:color w:val="222222"/>
          <w:sz w:val="24"/>
        </w:rPr>
        <w:t>Tổng giám đốc không được ký ủy nhiệm chi, không được thực hiện việc thanh toán hoặc ra lệnh thanh toán từ tài khoản ngân hàng của Công ty theo Giấy ủy quyền này.</w:t>
      </w:r>
    </w:p>
    <w:p>
      <w:pPr>
        <w:spacing w:before="0" w:after="40" w:line="276" w:lineRule="auto"/>
        <w:jc w:val="left"/>
      </w:pPr>
      <w:r>
        <w:rPr>
          <w:rFonts w:ascii="Public Sans" w:hAnsi="Public Sans" w:eastAsia="Public Sans"/>
          <w:b w:val="0"/>
          <w:i w:val="0"/>
          <w:color w:val="222222"/>
          <w:sz w:val="24"/>
        </w:rPr>
        <w:t>Các giao dịch vượt quá 200.000.000 đồng hoặc vượt ngoài phạm vi điều hành thường xuyên phải được Chủ tịch Hội đồng thành viên hoặc Hội đồng thành viên chấp thuận riêng bằng văn bản.</w:t>
      </w:r>
    </w:p>
    <w:p>
      <w:pPr>
        <w:spacing w:before="140" w:after="80" w:line="276" w:lineRule="auto"/>
        <w:jc w:val="left"/>
      </w:pPr>
      <w:r>
        <w:rPr>
          <w:rFonts w:ascii="Public Sans" w:hAnsi="Public Sans" w:eastAsia="Public Sans"/>
          <w:b/>
          <w:i w:val="0"/>
          <w:color w:val="222222"/>
          <w:sz w:val="24"/>
        </w:rPr>
        <w:t>6. Kết quả biểu quyết</w:t>
      </w:r>
    </w:p>
    <w:p>
      <w:pPr>
        <w:spacing w:before="0" w:after="80" w:line="276" w:lineRule="auto"/>
        <w:jc w:val="left"/>
      </w:pPr>
      <w:r>
        <w:rPr>
          <w:rFonts w:ascii="Public Sans" w:hAnsi="Public Sans" w:eastAsia="Public Sans"/>
          <w:b w:val="0"/>
          <w:i w:val="0"/>
          <w:color w:val="222222"/>
          <w:sz w:val="24"/>
        </w:rPr>
        <w:t>Nội dung biểu quyết: Thông qua việc ủy quyền cho Bà Trương Ngọc Ánh, Tổng giám đốc, thực hiện công việc điều hành và ký giao dịch hợp đồng trong phạm vi đã thảo luận.</w:t>
      </w:r>
    </w:p>
    <w:p>
      <w:pPr>
        <w:spacing w:before="0" w:after="80" w:line="276" w:lineRule="auto"/>
        <w:jc w:val="left"/>
      </w:pPr>
      <w:r>
        <w:rPr>
          <w:rFonts w:ascii="Public Sans" w:hAnsi="Public Sans" w:eastAsia="Public Sans"/>
          <w:b w:val="0"/>
          <w:i w:val="0"/>
          <w:color w:val="222222"/>
          <w:sz w:val="24"/>
        </w:rPr>
        <w:t>Tán thành: 100% | Không tán thành: 0% | Không có ý kiến: 0%</w:t>
      </w:r>
    </w:p>
    <w:p>
      <w:pPr>
        <w:spacing w:before="140" w:after="80" w:line="276" w:lineRule="auto"/>
        <w:jc w:val="left"/>
      </w:pPr>
      <w:r>
        <w:rPr>
          <w:rFonts w:ascii="Public Sans" w:hAnsi="Public Sans" w:eastAsia="Public Sans"/>
          <w:b/>
          <w:i w:val="0"/>
          <w:color w:val="222222"/>
          <w:sz w:val="24"/>
        </w:rPr>
        <w:t>7. Kết luận</w:t>
      </w:r>
    </w:p>
    <w:p>
      <w:pPr>
        <w:spacing w:before="0" w:after="80" w:line="276" w:lineRule="auto"/>
        <w:jc w:val="left"/>
      </w:pPr>
      <w:r>
        <w:rPr>
          <w:rFonts w:ascii="Public Sans" w:hAnsi="Public Sans" w:eastAsia="Public Sans"/>
          <w:b w:val="0"/>
          <w:i w:val="0"/>
          <w:color w:val="222222"/>
          <w:sz w:val="24"/>
        </w:rPr>
        <w:t>Hội đồng thành viên thống nhất thông qua toàn bộ nội dung ủy quyền nêu trên và giao Chủ tịch Hội đồng thành viên ký Giấy ủy quyền để triển khai thực hiện ngay sau cuộc họp.</w:t>
      </w:r>
    </w:p>
    <w:p>
      <w:pPr>
        <w:spacing w:before="0" w:after="200" w:line="276" w:lineRule="auto"/>
        <w:jc w:val="left"/>
      </w:pPr>
      <w:r>
        <w:rPr>
          <w:rFonts w:ascii="Public Sans" w:hAnsi="Public Sans" w:eastAsia="Public Sans"/>
          <w:b w:val="0"/>
          <w:i w:val="0"/>
          <w:color w:val="222222"/>
          <w:sz w:val="24"/>
        </w:rPr>
        <w:t>Biên bản được lập thành 02 bản có giá trị như nhau và kết thúc vào lúc 10:45 cùng ngày 18/06/2026.</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pPr>
              <w:jc w:val="center"/>
            </w:pPr>
            <w:r>
              <w:rPr>
                <w:rFonts w:ascii="Public Sans" w:hAnsi="Public Sans" w:eastAsia="Public Sans"/>
                <w:b/>
                <w:color w:val="222222"/>
                <w:sz w:val="22"/>
              </w:rPr>
              <w:t>CHỦ TỌA CUỘC HỌP</w:t>
            </w:r>
          </w:p>
          <w:p>
            <w:pPr>
              <w:jc w:val="center"/>
            </w:pPr>
            <w:r>
              <w:rPr>
                <w:rFonts w:ascii="Public Sans" w:hAnsi="Public Sans" w:eastAsia="Public Sans"/>
                <w:i/>
                <w:color w:val="626262"/>
                <w:sz w:val="20"/>
              </w:rPr>
              <w:t>(Nguyễn Duy Quang)</w:t>
            </w:r>
          </w:p>
          <w:p/>
          <w:p/>
          <w:p/>
          <w:p/>
          <w:p/>
          <w:p/>
        </w:tc>
        <w:tc>
          <w:tcPr>
            <w:tcW w:type="dxa" w:w="4680"/>
            <w:vAlign w:val="top"/>
          </w:tcPr>
          <w:p>
            <w:pPr>
              <w:jc w:val="center"/>
            </w:pPr>
            <w:r>
              <w:rPr>
                <w:rFonts w:ascii="Public Sans" w:hAnsi="Public Sans" w:eastAsia="Public Sans"/>
                <w:b/>
                <w:color w:val="222222"/>
                <w:sz w:val="22"/>
              </w:rPr>
              <w:t>THƯ KÝ</w:t>
            </w:r>
          </w:p>
          <w:p>
            <w:pPr>
              <w:jc w:val="center"/>
            </w:pPr>
            <w:r>
              <w:rPr>
                <w:rFonts w:ascii="Public Sans" w:hAnsi="Public Sans" w:eastAsia="Public Sans"/>
                <w:i/>
                <w:color w:val="626262"/>
                <w:sz w:val="20"/>
              </w:rPr>
              <w:t>(Trương Ngọc Ánh)</w:t>
            </w:r>
          </w:p>
          <w:p/>
          <w:p/>
          <w:p/>
          <w:p/>
          <w:p/>
          <w:p/>
        </w:tc>
      </w:tr>
    </w:tbl>
    <w:sectPr w:rsidR="00FC693F" w:rsidRPr="0006063C" w:rsidSect="00034616">
      <w:headerReference w:type="default" r:id="rId9"/>
      <w:footerReference w:type="default" r:id="rId10"/>
      <w:pgSz w:w="12240" w:h="15840"/>
      <w:pgMar w:top="1440" w:right="1440" w:bottom="1440" w:left="144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pBdr>
        <w:top w:val="single" w:sz="8" w:space="1" w:color="000000"/>
      </w:pBd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
            <w:rPr>
              <w:rFonts w:ascii="Public Sans" w:hAnsi="Public Sans" w:eastAsia="Public Sans"/>
              <w:b/>
              <w:color w:val="000000"/>
              <w:sz w:val="17"/>
            </w:rPr>
            <w:t>DS Corporation</w:t>
          </w:r>
        </w:p>
      </w:tc>
      <w:tc>
        <w:tcPr>
          <w:tcW w:type="dxa" w:w="3120"/>
        </w:tcPr>
        <w:p>
          <w:pPr>
            <w:jc w:val="center"/>
          </w:pPr>
          <w:r/>
          <w:r>
            <w:rPr>
              <w:rFonts w:ascii="Public Sans" w:hAnsi="Public Sans" w:eastAsia="Public Sans"/>
              <w:color w:val="000000"/>
              <w:sz w:val="16"/>
            </w:rPr>
            <w:t>Biên bản họp ủy quyền cho Tổng giám đốc</w:t>
          </w:r>
        </w:p>
      </w:tc>
      <w:tc>
        <w:tcPr>
          <w:tcW w:type="dxa" w:w="3120"/>
        </w:tcPr>
        <w:p>
          <w:pPr>
            <w:jc w:val="right"/>
          </w:pPr>
          <w:r/>
          <w:r>
            <w:rPr>
              <w:rFonts w:ascii="Public Sans" w:hAnsi="Public Sans" w:eastAsia="Public Sans"/>
              <w:color w:val="626262"/>
              <w:sz w:val="18"/>
            </w:rPr>
            <w:t xml:space="preserve">Page </w:t>
          </w:r>
          <w:r>
            <w:rPr>
              <w:rFonts w:ascii="Public Sans" w:hAnsi="Public Sans" w:eastAsia="Public Sans"/>
              <w:color w:val="626262"/>
              <w:sz w:val="18"/>
            </w:rPr>
            <w:fldChar w:fldCharType="begin"/>
            <w:instrText xml:space="preserve"> PAGE </w:instrText>
            <w:fldChar w:fldCharType="end"/>
          </w:r>
          <w:r>
            <w:rPr>
              <w:rFonts w:ascii="Public Sans" w:hAnsi="Public Sans" w:eastAsia="Public Sans"/>
              <w:color w:val="626262"/>
              <w:sz w:val="18"/>
            </w:rPr>
            <w:t xml:space="preserve"> / </w:t>
          </w:r>
          <w:r>
            <w:rPr>
              <w:rFonts w:ascii="Public Sans" w:hAnsi="Public Sans" w:eastAsia="Public Sans"/>
              <w:color w:val="626262"/>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after="0" w:line="240" w:lineRule="auto"/>
            <w:jc w:val="left"/>
          </w:pPr>
          <w:r>
            <w:rPr>
              <w:rFonts w:ascii="Public Sans" w:hAnsi="Public Sans" w:eastAsia="Public Sans"/>
              <w:b/>
              <w:color w:val="000000"/>
              <w:sz w:val="33"/>
            </w:rPr>
            <w:t>DS Corporation</w:t>
          </w:r>
        </w:p>
        <w:p>
          <w:pPr>
            <w:spacing w:before="0" w:after="0" w:line="240" w:lineRule="auto"/>
            <w:jc w:val="left"/>
          </w:pPr>
          <w:r>
            <w:rPr>
              <w:rFonts w:ascii="Public Sans" w:hAnsi="Public Sans" w:eastAsia="Public Sans"/>
              <w:color w:val="000000"/>
              <w:sz w:val="18"/>
            </w:rPr>
            <w:t>CÔNG TY TNHH DS CORPORATION</w:t>
          </w:r>
        </w:p>
      </w:tc>
      <w:tc>
        <w:tcPr>
          <w:tcW w:type="dxa" w:w="4680"/>
        </w:tcPr>
        <w:p>
          <w:pPr>
            <w:spacing w:after="0" w:line="240" w:lineRule="auto"/>
            <w:jc w:val="right"/>
          </w:pPr>
          <w:r>
            <w:rPr>
              <w:rFonts w:ascii="Public Sans" w:hAnsi="Public Sans" w:eastAsia="Public Sans"/>
              <w:b/>
              <w:color w:val="000000"/>
              <w:sz w:val="17"/>
            </w:rPr>
            <w:t>Mã số doanh nghiệp: 0111537512</w:t>
          </w:r>
        </w:p>
        <w:p>
          <w:pPr>
            <w:spacing w:before="0" w:after="0" w:line="240" w:lineRule="auto"/>
            <w:jc w:val="right"/>
          </w:pPr>
          <w:r>
            <w:rPr>
              <w:rFonts w:ascii="Public Sans" w:hAnsi="Public Sans" w:eastAsia="Public Sans"/>
              <w:color w:val="000000"/>
              <w:sz w:val="17"/>
            </w:rPr>
            <w:t>Tầng 4, Tòa nhà Đannam, số 78 phố Duy Tân, Phường Cầu Giấy, Thành phố Hà Nội, Việt Nam</w:t>
          </w:r>
        </w:p>
        <w:p>
          <w:pPr>
            <w:spacing w:before="0" w:after="0" w:line="240" w:lineRule="auto"/>
            <w:jc w:val="right"/>
          </w:pPr>
          <w:r>
            <w:rPr>
              <w:rFonts w:ascii="Public Sans" w:hAnsi="Public Sans" w:eastAsia="Public Sans"/>
              <w:color w:val="000000"/>
              <w:sz w:val="17"/>
            </w:rPr>
            <w:t>dsgroup.info26@gmail.com  |  0912.789.788</w:t>
          </w:r>
        </w:p>
      </w:tc>
    </w:tr>
  </w:tbl>
  <w:p>
    <w:pPr>
      <w:spacing w:before="100" w:after="20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eastAsia="Public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