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jc w:val="center"/>
      </w:pPr>
      <w:r>
        <w:rPr>
          <w:rFonts w:ascii="Public Sans" w:hAnsi="Public Sans" w:eastAsia="Public Sans"/>
          <w:b w:val="0"/>
          <w:i w:val="0"/>
          <w:color w:val="000000"/>
          <w:sz w:val="36"/>
        </w:rPr>
        <w:t>NGHỊ QUYẾT / QUYẾT ĐỊNH CỦA HỘI ĐỒNG THÀNH VIÊN</w:t>
      </w:r>
    </w:p>
    <w:p>
      <w:pPr>
        <w:spacing w:before="0" w:after="160" w:line="276" w:lineRule="auto"/>
        <w:jc w:val="center"/>
      </w:pPr>
      <w:r>
        <w:rPr>
          <w:rFonts w:ascii="Public Sans" w:hAnsi="Public Sans" w:eastAsia="Public Sans"/>
          <w:b w:val="0"/>
          <w:i/>
          <w:color w:val="000000"/>
          <w:sz w:val="22"/>
        </w:rPr>
        <w:t>Về việc ủy quyền cho Tổng giám đốc thực hiện công việc điều hành và ký giao dịch hợp đồng</w:t>
      </w:r>
    </w:p>
    <w:p>
      <w:pPr>
        <w:spacing w:before="0" w:after="240" w:line="240" w:lineRule="auto"/>
        <w:jc w:val="center"/>
      </w:pPr>
      <w:r/>
      <w:r>
        <w:rPr>
          <w:rFonts w:ascii="Public Sans" w:hAnsi="Public Sans" w:eastAsia="Public Sans"/>
          <w:color w:val="000000"/>
          <w:sz w:val="20"/>
        </w:rPr>
        <w:t>Số: 04/2026/NQ-HĐTV   |   Ngày: 18/06/2026</w:t>
      </w:r>
    </w:p>
    <w:p>
      <w:pPr>
        <w:spacing w:before="0" w:after="160" w:line="276" w:lineRule="auto"/>
        <w:jc w:val="center"/>
      </w:pPr>
      <w:r>
        <w:rPr>
          <w:rFonts w:ascii="Public Sans" w:hAnsi="Public Sans" w:eastAsia="Public Sans"/>
          <w:b/>
          <w:i w:val="0"/>
          <w:color w:val="222222"/>
          <w:sz w:val="24"/>
        </w:rPr>
        <w:t>CÔNG TY TNHH DS CORPORATION</w:t>
      </w:r>
    </w:p>
    <w:p>
      <w:pPr>
        <w:spacing w:before="0" w:after="80" w:line="276" w:lineRule="auto"/>
        <w:jc w:val="left"/>
      </w:pPr>
      <w:r>
        <w:rPr>
          <w:rFonts w:ascii="Public Sans" w:hAnsi="Public Sans" w:eastAsia="Public Sans"/>
          <w:b w:val="0"/>
          <w:i w:val="0"/>
          <w:color w:val="222222"/>
          <w:sz w:val="24"/>
        </w:rPr>
        <w:t>Căn cứ Luật Doanh nghiệp hiện hành;</w:t>
      </w:r>
    </w:p>
    <w:p>
      <w:pPr>
        <w:spacing w:before="0" w:after="80" w:line="276" w:lineRule="auto"/>
        <w:jc w:val="left"/>
      </w:pPr>
      <w:r>
        <w:rPr>
          <w:rFonts w:ascii="Public Sans" w:hAnsi="Public Sans" w:eastAsia="Public Sans"/>
          <w:b w:val="0"/>
          <w:i w:val="0"/>
          <w:color w:val="222222"/>
          <w:sz w:val="24"/>
        </w:rPr>
        <w:t>Căn cứ Điều lệ CÔNG TY TNHH DS CORPORATION;</w:t>
      </w:r>
    </w:p>
    <w:p>
      <w:pPr>
        <w:spacing w:before="0" w:after="160" w:line="276" w:lineRule="auto"/>
        <w:jc w:val="left"/>
      </w:pPr>
      <w:r>
        <w:rPr>
          <w:rFonts w:ascii="Public Sans" w:hAnsi="Public Sans" w:eastAsia="Public Sans"/>
          <w:b w:val="0"/>
          <w:i w:val="0"/>
          <w:color w:val="222222"/>
          <w:sz w:val="24"/>
        </w:rPr>
        <w:t>Căn cứ Biên bản họp Hội đồng thành viên số 03/2026/BBH-HĐTV ngày 18/06/2026;</w:t>
      </w:r>
    </w:p>
    <w:p>
      <w:pPr>
        <w:spacing w:before="0" w:after="200" w:line="276" w:lineRule="auto"/>
        <w:jc w:val="center"/>
      </w:pPr>
      <w:r>
        <w:rPr>
          <w:rFonts w:ascii="Public Sans" w:hAnsi="Public Sans" w:eastAsia="Public Sans"/>
          <w:b/>
          <w:i w:val="0"/>
          <w:color w:val="222222"/>
          <w:sz w:val="24"/>
        </w:rPr>
        <w:t>HỘI ĐỒNG THÀNH VIÊN QUYẾT NGHỊ NHƯ SAU:</w:t>
      </w:r>
    </w:p>
    <w:p>
      <w:pPr>
        <w:spacing w:before="140" w:after="80" w:line="276" w:lineRule="auto"/>
        <w:jc w:val="left"/>
      </w:pPr>
      <w:r>
        <w:rPr>
          <w:rFonts w:ascii="Public Sans" w:hAnsi="Public Sans" w:eastAsia="Public Sans"/>
          <w:b/>
          <w:i w:val="0"/>
          <w:color w:val="222222"/>
          <w:sz w:val="24"/>
        </w:rPr>
        <w:t>Điều 1. Chấp thuận ủy quyền</w:t>
      </w:r>
    </w:p>
    <w:p>
      <w:pPr>
        <w:spacing w:before="0" w:after="80" w:line="276" w:lineRule="auto"/>
        <w:jc w:val="left"/>
      </w:pPr>
      <w:r>
        <w:rPr>
          <w:rFonts w:ascii="Public Sans" w:hAnsi="Public Sans" w:eastAsia="Public Sans"/>
          <w:b w:val="0"/>
          <w:i w:val="0"/>
          <w:color w:val="222222"/>
          <w:sz w:val="24"/>
        </w:rPr>
        <w:t>Hội đồng thành viên chấp thuận để Ông Nguyễn Duy Quang, người đại diện theo pháp luật của Công ty, ký Giấy ủy quyền cho Bà Trương Ngọc Ánh, Tổng giám đốc, thực hiện công việc điều hành thường xuyên và ký các hợp đồng, giao dịch phục vụ hoạt động của Công ty trong hạn mức từng giao dịch dưới 200.000.000 đồng.</w:t>
      </w:r>
    </w:p>
    <w:p>
      <w:pPr>
        <w:spacing w:before="140" w:after="80" w:line="276" w:lineRule="auto"/>
        <w:jc w:val="left"/>
      </w:pPr>
      <w:r>
        <w:rPr>
          <w:rFonts w:ascii="Public Sans" w:hAnsi="Public Sans" w:eastAsia="Public Sans"/>
          <w:b/>
          <w:i w:val="0"/>
          <w:color w:val="222222"/>
          <w:sz w:val="24"/>
        </w:rPr>
        <w:t>Điều 2. Nội dung ủy quyền chính</w:t>
      </w:r>
    </w:p>
    <w:p>
      <w:pPr>
        <w:spacing w:before="0" w:after="80" w:line="276" w:lineRule="auto"/>
        <w:jc w:val="left"/>
      </w:pPr>
      <w:r>
        <w:rPr>
          <w:rFonts w:ascii="Public Sans" w:hAnsi="Public Sans" w:eastAsia="Public Sans"/>
          <w:b w:val="0"/>
          <w:i w:val="0"/>
          <w:color w:val="222222"/>
          <w:sz w:val="24"/>
        </w:rPr>
        <w:t>Phạm vi ủy quyền bao gồm quyền điều hành công việc thường xuyên, ký giấy tờ giao dịch thương mại thông thường, ký hợp đồng mua bán hàng hóa, dịch vụ, thuê tài sản, phụ lục hợp đồng, biên bản giao nhận, nghiệm thu, đối chiếu công nợ, hồ sơ nhân sự và các tài liệu vận hành thông thường phù hợp với chức năng Tổng giám đốc.</w:t>
      </w:r>
    </w:p>
    <w:p>
      <w:pPr>
        <w:spacing w:before="140" w:after="80" w:line="276" w:lineRule="auto"/>
        <w:jc w:val="left"/>
      </w:pPr>
      <w:r>
        <w:rPr>
          <w:rFonts w:ascii="Public Sans" w:hAnsi="Public Sans" w:eastAsia="Public Sans"/>
          <w:b/>
          <w:i w:val="0"/>
          <w:color w:val="222222"/>
          <w:sz w:val="24"/>
        </w:rPr>
        <w:t>Điều 3. Giới hạn ủy quyền</w:t>
      </w:r>
    </w:p>
    <w:p>
      <w:pPr>
        <w:spacing w:before="0" w:after="80" w:line="276" w:lineRule="auto"/>
        <w:jc w:val="left"/>
      </w:pPr>
      <w:r>
        <w:rPr>
          <w:rFonts w:ascii="Public Sans" w:hAnsi="Public Sans" w:eastAsia="Public Sans"/>
          <w:b w:val="0"/>
          <w:i w:val="0"/>
          <w:color w:val="222222"/>
          <w:sz w:val="24"/>
        </w:rPr>
        <w:t>Bà Trương Ngọc Ánh không được ký ủy nhiệm chi, không được thực hiện việc thanh toán hoặc ra lệnh thanh toán từ tài khoản ngân hàng của Công ty theo phạm vi ủy quyền này.</w:t>
      </w:r>
    </w:p>
    <w:p>
      <w:pPr>
        <w:spacing w:before="0" w:after="80" w:line="276" w:lineRule="auto"/>
        <w:jc w:val="left"/>
      </w:pPr>
      <w:r>
        <w:rPr>
          <w:rFonts w:ascii="Public Sans" w:hAnsi="Public Sans" w:eastAsia="Public Sans"/>
          <w:b w:val="0"/>
          <w:i w:val="0"/>
          <w:color w:val="222222"/>
          <w:sz w:val="24"/>
        </w:rPr>
        <w:t>Các giao dịch vượt quá 200.000.000 đồng hoặc ngoài phạm vi điều hành thường xuyên phải được chấp thuận riêng bằng văn bản.</w:t>
      </w:r>
    </w:p>
    <w:p>
      <w:pPr>
        <w:spacing w:before="140" w:after="80" w:line="276" w:lineRule="auto"/>
        <w:jc w:val="left"/>
      </w:pPr>
      <w:r>
        <w:rPr>
          <w:rFonts w:ascii="Public Sans" w:hAnsi="Public Sans" w:eastAsia="Public Sans"/>
          <w:b/>
          <w:i w:val="0"/>
          <w:color w:val="222222"/>
          <w:sz w:val="24"/>
        </w:rPr>
        <w:t>Điều 4. Tổ chức thực hiện</w:t>
      </w:r>
    </w:p>
    <w:p>
      <w:pPr>
        <w:spacing w:before="0" w:after="80" w:line="276" w:lineRule="auto"/>
        <w:jc w:val="left"/>
      </w:pPr>
      <w:r>
        <w:rPr>
          <w:rFonts w:ascii="Public Sans" w:hAnsi="Public Sans" w:eastAsia="Public Sans"/>
          <w:b w:val="0"/>
          <w:i w:val="0"/>
          <w:color w:val="222222"/>
          <w:sz w:val="24"/>
        </w:rPr>
        <w:t>Ông Nguyễn Duy Quang, Bà Trương Ngọc Ánh và các cá nhân, bộ phận liên quan chịu trách nhiệm thi hành Nghị quyết/Quyết định này.</w:t>
      </w:r>
    </w:p>
    <w:p>
      <w:pPr>
        <w:spacing w:before="140" w:after="80" w:line="276" w:lineRule="auto"/>
        <w:jc w:val="left"/>
      </w:pPr>
      <w:r>
        <w:rPr>
          <w:rFonts w:ascii="Public Sans" w:hAnsi="Public Sans" w:eastAsia="Public Sans"/>
          <w:b/>
          <w:i w:val="0"/>
          <w:color w:val="222222"/>
          <w:sz w:val="24"/>
        </w:rPr>
        <w:t>Điều 5. Hiệu lực</w:t>
      </w:r>
    </w:p>
    <w:p>
      <w:pPr>
        <w:spacing w:before="0" w:after="200" w:line="276" w:lineRule="auto"/>
        <w:jc w:val="left"/>
      </w:pPr>
      <w:r>
        <w:rPr>
          <w:rFonts w:ascii="Public Sans" w:hAnsi="Public Sans" w:eastAsia="Public Sans"/>
          <w:b w:val="0"/>
          <w:i w:val="0"/>
          <w:color w:val="222222"/>
          <w:sz w:val="24"/>
        </w:rPr>
        <w:t>Nghị quyết/Quyết định này có hiệu lực kể từ ngày 18/06/2026.</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4680"/>
        <w:gridCol w:w="4680"/>
      </w:tblGrid>
      <w:tr>
        <w:tc>
          <w:tcPr>
            <w:tcW w:type="dxa" w:w="4680"/>
          </w:tcPr>
          <w:p>
            <w:pPr>
              <w:jc w:val="left"/>
            </w:pPr>
            <w:r>
              <w:rPr>
                <w:rFonts w:ascii="Public Sans" w:hAnsi="Public Sans" w:eastAsia="Public Sans"/>
                <w:b/>
                <w:color w:val="222222"/>
                <w:sz w:val="22"/>
              </w:rPr>
              <w:t>Nơi nhận</w:t>
            </w:r>
          </w:p>
          <w:p>
            <w:pPr>
              <w:jc w:val="left"/>
            </w:pPr>
            <w:r>
              <w:rPr>
                <w:rFonts w:ascii="Public Sans" w:hAnsi="Public Sans" w:eastAsia="Public Sans"/>
                <w:color w:val="222222"/>
                <w:sz w:val="21"/>
              </w:rPr>
              <w:t>• Như Điều 4.</w:t>
            </w:r>
          </w:p>
          <w:p>
            <w:pPr>
              <w:jc w:val="left"/>
            </w:pPr>
            <w:r>
              <w:rPr>
                <w:rFonts w:ascii="Public Sans" w:hAnsi="Public Sans" w:eastAsia="Public Sans"/>
                <w:color w:val="222222"/>
                <w:sz w:val="21"/>
              </w:rPr>
              <w:t>• Lưu hồ sơ công ty.</w:t>
            </w:r>
          </w:p>
        </w:tc>
        <w:tc>
          <w:tcPr>
            <w:tcW w:type="dxa" w:w="4680"/>
          </w:tcPr>
          <w:p>
            <w:pPr>
              <w:jc w:val="center"/>
            </w:pPr>
            <w:r>
              <w:rPr>
                <w:rFonts w:ascii="Public Sans" w:hAnsi="Public Sans" w:eastAsia="Public Sans"/>
                <w:b/>
                <w:color w:val="222222"/>
                <w:sz w:val="22"/>
              </w:rPr>
              <w:t>TM. HỘI ĐỒNG THÀNH VIÊN</w:t>
            </w:r>
          </w:p>
          <w:p>
            <w:pPr>
              <w:jc w:val="center"/>
            </w:pPr>
            <w:r>
              <w:rPr>
                <w:rFonts w:ascii="Public Sans" w:hAnsi="Public Sans" w:eastAsia="Public Sans"/>
                <w:b/>
                <w:color w:val="222222"/>
                <w:sz w:val="22"/>
              </w:rPr>
              <w:t>CHỦ TỊCH</w:t>
            </w:r>
          </w:p>
          <w:p>
            <w:pPr>
              <w:jc w:val="center"/>
            </w:pPr>
            <w:r>
              <w:rPr>
                <w:rFonts w:ascii="Public Sans" w:hAnsi="Public Sans" w:eastAsia="Public Sans"/>
                <w:i/>
                <w:color w:val="626262"/>
                <w:sz w:val="20"/>
              </w:rPr>
              <w:t>(Nguyễn Duy Quang)</w:t>
            </w:r>
          </w:p>
          <w:p/>
          <w:p/>
          <w:p/>
          <w:p/>
          <w:p/>
          <w:p/>
        </w:tc>
      </w:tr>
    </w:tbl>
    <w:sectPr w:rsidR="00FC693F" w:rsidRPr="0006063C" w:rsidSect="00034616">
      <w:headerReference w:type="default" r:id="rId9"/>
      <w:footerReference w:type="default" r:id="rId10"/>
      <w:pgSz w:w="12240" w:h="15840"/>
      <w:pgMar w:top="1440" w:right="1440" w:bottom="1440" w:left="1440"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40"/>
      <w:pBdr>
        <w:top w:val="single" w:sz="8" w:space="1" w:color="000000"/>
      </w:pBdr>
    </w:pP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3120"/>
      <w:gridCol w:w="3120"/>
      <w:gridCol w:w="3120"/>
    </w:tblGrid>
    <w:tr>
      <w:tc>
        <w:tcPr>
          <w:tcW w:type="dxa" w:w="3120"/>
        </w:tcPr>
        <w:p>
          <w:pPr>
            <w:jc w:val="left"/>
          </w:pPr>
          <w:r/>
          <w:r>
            <w:rPr>
              <w:rFonts w:ascii="Public Sans" w:hAnsi="Public Sans" w:eastAsia="Public Sans"/>
              <w:b/>
              <w:color w:val="000000"/>
              <w:sz w:val="17"/>
            </w:rPr>
            <w:t>DS Corporation</w:t>
          </w:r>
        </w:p>
      </w:tc>
      <w:tc>
        <w:tcPr>
          <w:tcW w:type="dxa" w:w="3120"/>
        </w:tcPr>
        <w:p>
          <w:pPr>
            <w:jc w:val="center"/>
          </w:pPr>
          <w:r/>
          <w:r>
            <w:rPr>
              <w:rFonts w:ascii="Public Sans" w:hAnsi="Public Sans" w:eastAsia="Public Sans"/>
              <w:color w:val="000000"/>
              <w:sz w:val="16"/>
            </w:rPr>
            <w:t>Nghị quyết ủy quyền cho Tổng giám đốc</w:t>
          </w:r>
        </w:p>
      </w:tc>
      <w:tc>
        <w:tcPr>
          <w:tcW w:type="dxa" w:w="3120"/>
        </w:tcPr>
        <w:p>
          <w:pPr>
            <w:jc w:val="right"/>
          </w:pPr>
          <w:r/>
          <w:r>
            <w:rPr>
              <w:rFonts w:ascii="Public Sans" w:hAnsi="Public Sans" w:eastAsia="Public Sans"/>
              <w:color w:val="626262"/>
              <w:sz w:val="18"/>
            </w:rPr>
            <w:t xml:space="preserve">Page </w:t>
          </w:r>
          <w:r>
            <w:rPr>
              <w:rFonts w:ascii="Public Sans" w:hAnsi="Public Sans" w:eastAsia="Public Sans"/>
              <w:color w:val="626262"/>
              <w:sz w:val="18"/>
            </w:rPr>
            <w:fldChar w:fldCharType="begin"/>
            <w:instrText xml:space="preserve"> PAGE </w:instrText>
            <w:fldChar w:fldCharType="end"/>
          </w:r>
          <w:r>
            <w:rPr>
              <w:rFonts w:ascii="Public Sans" w:hAnsi="Public Sans" w:eastAsia="Public Sans"/>
              <w:color w:val="626262"/>
              <w:sz w:val="18"/>
            </w:rPr>
            <w:t xml:space="preserve"> / </w:t>
          </w:r>
          <w:r>
            <w:rPr>
              <w:rFonts w:ascii="Public Sans" w:hAnsi="Public Sans" w:eastAsia="Public Sans"/>
              <w:color w:val="626262"/>
              <w:sz w:val="18"/>
            </w:rPr>
            <w:fldChar w:fldCharType="begin"/>
            <w:instrText xml:space="preserve"> NUMPAGES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4680"/>
      <w:gridCol w:w="4680"/>
    </w:tblGrid>
    <w:tr>
      <w:tc>
        <w:tcPr>
          <w:tcW w:type="dxa" w:w="4680"/>
        </w:tcPr>
        <w:p>
          <w:pPr>
            <w:spacing w:after="0" w:line="240" w:lineRule="auto"/>
            <w:jc w:val="left"/>
          </w:pPr>
          <w:r>
            <w:rPr>
              <w:rFonts w:ascii="Public Sans" w:hAnsi="Public Sans" w:eastAsia="Public Sans"/>
              <w:b/>
              <w:color w:val="000000"/>
              <w:sz w:val="33"/>
            </w:rPr>
            <w:t>DS Corporation</w:t>
          </w:r>
        </w:p>
        <w:p>
          <w:pPr>
            <w:spacing w:before="0" w:after="0" w:line="240" w:lineRule="auto"/>
            <w:jc w:val="left"/>
          </w:pPr>
          <w:r>
            <w:rPr>
              <w:rFonts w:ascii="Public Sans" w:hAnsi="Public Sans" w:eastAsia="Public Sans"/>
              <w:color w:val="000000"/>
              <w:sz w:val="18"/>
            </w:rPr>
            <w:t>CÔNG TY TNHH DS CORPORATION</w:t>
          </w:r>
        </w:p>
      </w:tc>
      <w:tc>
        <w:tcPr>
          <w:tcW w:type="dxa" w:w="4680"/>
        </w:tcPr>
        <w:p>
          <w:pPr>
            <w:spacing w:after="0" w:line="240" w:lineRule="auto"/>
            <w:jc w:val="right"/>
          </w:pPr>
          <w:r>
            <w:rPr>
              <w:rFonts w:ascii="Public Sans" w:hAnsi="Public Sans" w:eastAsia="Public Sans"/>
              <w:b/>
              <w:color w:val="000000"/>
              <w:sz w:val="17"/>
            </w:rPr>
            <w:t>Mã số doanh nghiệp: 0111537512</w:t>
          </w:r>
        </w:p>
        <w:p>
          <w:pPr>
            <w:spacing w:before="0" w:after="0" w:line="240" w:lineRule="auto"/>
            <w:jc w:val="right"/>
          </w:pPr>
          <w:r>
            <w:rPr>
              <w:rFonts w:ascii="Public Sans" w:hAnsi="Public Sans" w:eastAsia="Public Sans"/>
              <w:color w:val="000000"/>
              <w:sz w:val="17"/>
            </w:rPr>
            <w:t>Tầng 4, Tòa nhà Đannam, số 78 phố Duy Tân, Phường Cầu Giấy, Thành phố Hà Nội, Việt Nam</w:t>
          </w:r>
        </w:p>
        <w:p>
          <w:pPr>
            <w:spacing w:before="0" w:after="0" w:line="240" w:lineRule="auto"/>
            <w:jc w:val="right"/>
          </w:pPr>
          <w:r>
            <w:rPr>
              <w:rFonts w:ascii="Public Sans" w:hAnsi="Public Sans" w:eastAsia="Public Sans"/>
              <w:color w:val="000000"/>
              <w:sz w:val="17"/>
            </w:rPr>
            <w:t>dsgroup.info26@gmail.com  |  0912.789.788</w:t>
          </w:r>
        </w:p>
      </w:tc>
    </w:tr>
  </w:tbl>
  <w:p>
    <w:pPr>
      <w:spacing w:before="100" w:after="200"/>
      <w:pBdr>
        <w:bottom w:val="single" w:sz="8" w:space="1" w:color="000000"/>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Public Sans" w:hAnsi="Public Sans" w:eastAsia="Public Sans"/>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