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3900"/>
        <w:gridCol w:w="5700"/>
      </w:tblGrid>
      <w:tr>
        <w:tc>
          <w:tcPr>
            <w:tcW w:type="dxa" w:w="3900"/>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CÔNG TY CP ĐTXD VÀ KT</w:t>
            </w:r>
          </w:p>
          <w:p>
            <w:pPr>
              <w:spacing w:after="0" w:before="0" w:line="288"/>
              <w:jc w:val="center"/>
            </w:pPr>
            <w:r>
              <w:rPr>
                <w:rFonts w:ascii="Times New Roman" w:cs="Times New Roman" w:eastAsia="Times New Roman" w:hAnsi="Times New Roman"/>
                <w:b/>
                <w:bCs/>
                <w:sz w:val="26"/>
                <w:szCs w:val="26"/>
              </w:rPr>
              <w:t xml:space="preserve">VNCN E&amp;C</w:t>
            </w:r>
          </w:p>
          <w:p>
            <w:pPr>
              <w:spacing w:after="60" w:before="0" w:line="288"/>
              <w:jc w:val="center"/>
            </w:pPr>
            <w:r>
              <w:rPr>
                <w:rFonts w:ascii="Times New Roman" w:cs="Times New Roman" w:eastAsia="Times New Roman" w:hAnsi="Times New Roman"/>
                <w:b w:val="false"/>
                <w:bCs w:val="false"/>
                <w:sz w:val="26"/>
                <w:szCs w:val="26"/>
              </w:rPr>
              <w:t xml:space="preserve">=====</w:t>
            </w:r>
          </w:p>
          <w:p>
            <w:pPr>
              <w:spacing w:after="0" w:before="0" w:line="288"/>
              <w:jc w:val="center"/>
            </w:pPr>
            <w:r>
              <w:rPr>
                <w:rFonts w:ascii="Times New Roman" w:cs="Times New Roman" w:eastAsia="Times New Roman" w:hAnsi="Times New Roman"/>
                <w:b w:val="false"/>
                <w:bCs w:val="false"/>
                <w:sz w:val="26"/>
                <w:szCs w:val="26"/>
              </w:rPr>
              <w:t xml:space="preserve">Số: </w:t>
            </w:r>
            <w:r>
              <w:rPr>
                <w:rFonts w:ascii="Times New Roman" w:cs="Times New Roman" w:eastAsia="Times New Roman" w:hAnsi="Times New Roman"/>
                <w:b w:val="false"/>
                <w:bCs w:val="false"/>
                <w:sz w:val="26"/>
                <w:szCs w:val="26"/>
                <w:highlight w:val="yellow"/>
              </w:rPr>
              <w:t xml:space="preserve">……</w:t>
            </w:r>
            <w:r>
              <w:rPr>
                <w:rFonts w:ascii="Times New Roman" w:cs="Times New Roman" w:eastAsia="Times New Roman" w:hAnsi="Times New Roman"/>
                <w:b w:val="false"/>
                <w:bCs w:val="false"/>
                <w:sz w:val="26"/>
                <w:szCs w:val="26"/>
              </w:rPr>
              <w:t xml:space="preserve">/TTr/EC-YS</w:t>
            </w:r>
          </w:p>
        </w:tc>
        <w:tc>
          <w:tcPr>
            <w:tcW w:type="dxa" w:w="5700"/>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60" w:before="0" w:line="288"/>
              <w:jc w:val="center"/>
            </w:pPr>
            <w:r>
              <w:rPr>
                <w:rFonts w:ascii="Times New Roman" w:cs="Times New Roman" w:eastAsia="Times New Roman" w:hAnsi="Times New Roman"/>
                <w:b w:val="false"/>
                <w:bCs w:val="false"/>
                <w:sz w:val="26"/>
                <w:szCs w:val="26"/>
              </w:rPr>
              <w:t xml:space="preserve">=====</w:t>
            </w:r>
          </w:p>
          <w:p>
            <w:pPr>
              <w:spacing w:after="0" w:before="0" w:line="288"/>
              <w:jc w:val="right"/>
            </w:pPr>
            <w:r>
              <w:rPr>
                <w:rFonts w:ascii="Times New Roman" w:cs="Times New Roman" w:eastAsia="Times New Roman" w:hAnsi="Times New Roman"/>
                <w:b w:val="false"/>
                <w:bCs w:val="false"/>
                <w:i/>
                <w:iCs/>
                <w:sz w:val="26"/>
                <w:szCs w:val="26"/>
              </w:rPr>
              <w:t xml:space="preserve">Hà Nội, ngày </w:t>
            </w:r>
            <w:r>
              <w:rPr>
                <w:rFonts w:ascii="Times New Roman" w:cs="Times New Roman" w:eastAsia="Times New Roman" w:hAnsi="Times New Roman"/>
                <w:b w:val="false"/>
                <w:bCs w:val="false"/>
                <w:i/>
                <w:iCs/>
                <w:sz w:val="26"/>
                <w:szCs w:val="26"/>
                <w:highlight w:val="yellow"/>
              </w:rPr>
              <w:t xml:space="preserve">…</w:t>
            </w:r>
            <w:r>
              <w:rPr>
                <w:rFonts w:ascii="Times New Roman" w:cs="Times New Roman" w:eastAsia="Times New Roman" w:hAnsi="Times New Roman"/>
                <w:b w:val="false"/>
                <w:bCs w:val="false"/>
                <w:i/>
                <w:iCs/>
                <w:sz w:val="26"/>
                <w:szCs w:val="26"/>
              </w:rPr>
              <w:t xml:space="preserve"> tháng 10 năm 2026</w:t>
            </w:r>
          </w:p>
        </w:tc>
      </w:tr>
    </w:tbl>
    <w:p>
      <w:pPr>
        <w:spacing w:after="160" w:before="240" w:line="288"/>
        <w:jc w:val="center"/>
      </w:pPr>
      <w:r>
        <w:rPr>
          <w:rFonts w:ascii="Times New Roman" w:cs="Times New Roman" w:eastAsia="Times New Roman" w:hAnsi="Times New Roman"/>
          <w:b/>
          <w:bCs/>
          <w:sz w:val="32"/>
          <w:szCs w:val="32"/>
        </w:rPr>
        <w:t xml:space="preserve">TỜ TRÌNH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Kính gửi:</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Tổng Giám đốc Công ty CP ĐTXD và KT VNCN E&amp;C</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Bộ phận gửi:</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highlight w:val="yellow"/>
              </w:rPr>
              <w:t xml:space="preserve">Ban Kinh tế – Hợp đồng / BCH Yên Sở</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Tên gói thầu:</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Thi công hệ cừ, văng chống, kết cấu phần ngầm và chống thấm phần ngầm khối nhà ở xã hội CT1.2 và CT2 (CT2.1, CT2.2, CT2.3) – Dự án NOXH Yên Sở</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Nội dung:</w:t>
            </w:r>
          </w:p>
        </w:tc>
        <w:tc>
          <w:tcPr>
            <w:tcW w:type="dxa" w:w="7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Phê duyệt giá trị và các điều kiện chính của Hợp đồng thi công phần ngầm với Công ty CP Xây dựng Phục Hưng Holdings</w:t>
            </w:r>
          </w:p>
        </w:tc>
      </w:tr>
    </w:tbl>
    <w:p>
      <w:pPr>
        <w:spacing w:after="40" w:before="160" w:line="288"/>
        <w:jc w:val="both"/>
      </w:pPr>
      <w:r>
        <w:rPr>
          <w:rFonts w:ascii="Times New Roman" w:cs="Times New Roman" w:eastAsia="Times New Roman" w:hAnsi="Times New Roman"/>
          <w:b w:val="false"/>
          <w:bCs w:val="false"/>
          <w:sz w:val="26"/>
          <w:szCs w:val="26"/>
        </w:rPr>
        <w:t xml:space="preserve">Căn cứ:</w:t>
      </w:r>
    </w:p>
    <w:p>
      <w:pPr>
        <w:spacing w:after="30" w:before="0" w:line="288"/>
        <w:ind w:left="400" w:hanging="220"/>
        <w:jc w:val="both"/>
      </w:pPr>
      <w:r>
        <w:rPr>
          <w:rFonts w:ascii="Times New Roman" w:cs="Times New Roman" w:eastAsia="Times New Roman" w:hAnsi="Times New Roman"/>
          <w:b w:val="false"/>
          <w:bCs w:val="false"/>
          <w:sz w:val="26"/>
          <w:szCs w:val="26"/>
        </w:rPr>
        <w:t xml:space="preserve">+ Hợp đồng tổng thầu thi công xây dựng số 01/2026/HĐTTXL/LDIFT-TP &amp; LD VNCNEC-VH ngày 16/7/2026;</w:t>
      </w:r>
    </w:p>
    <w:p>
      <w:pPr>
        <w:spacing w:after="30" w:before="0" w:line="288"/>
        <w:ind w:left="400" w:hanging="220"/>
        <w:jc w:val="both"/>
      </w:pPr>
      <w:r>
        <w:rPr>
          <w:rFonts w:ascii="Times New Roman" w:cs="Times New Roman" w:eastAsia="Times New Roman" w:hAnsi="Times New Roman"/>
          <w:b w:val="false"/>
          <w:bCs w:val="false"/>
          <w:sz w:val="26"/>
          <w:szCs w:val="26"/>
        </w:rPr>
        <w:t xml:space="preserve">+ Thông báo trúng thầu (LOA) số </w:t>
      </w:r>
      <w:r>
        <w:rPr>
          <w:rFonts w:ascii="Times New Roman" w:cs="Times New Roman" w:eastAsia="Times New Roman" w:hAnsi="Times New Roman"/>
          <w:b w:val="false"/>
          <w:bCs w:val="false"/>
          <w:sz w:val="26"/>
          <w:szCs w:val="26"/>
          <w:highlight w:val="yellow"/>
        </w:rPr>
        <w:t xml:space="preserve">……</w:t>
      </w:r>
      <w:r>
        <w:rPr>
          <w:rFonts w:ascii="Times New Roman" w:cs="Times New Roman" w:eastAsia="Times New Roman" w:hAnsi="Times New Roman"/>
          <w:b w:val="false"/>
          <w:bCs w:val="false"/>
          <w:sz w:val="26"/>
          <w:szCs w:val="26"/>
        </w:rPr>
        <w:t xml:space="preserve">/2026/CV/EC-XD ngày </w:t>
      </w:r>
      <w:r>
        <w:rPr>
          <w:rFonts w:ascii="Times New Roman" w:cs="Times New Roman" w:eastAsia="Times New Roman" w:hAnsi="Times New Roman"/>
          <w:b w:val="false"/>
          <w:bCs w:val="false"/>
          <w:sz w:val="26"/>
          <w:szCs w:val="26"/>
          <w:highlight w:val="yellow"/>
        </w:rPr>
        <w:t xml:space="preserve">……</w:t>
      </w:r>
      <w:r>
        <w:rPr>
          <w:rFonts w:ascii="Times New Roman" w:cs="Times New Roman" w:eastAsia="Times New Roman" w:hAnsi="Times New Roman"/>
          <w:b w:val="false"/>
          <w:bCs w:val="false"/>
          <w:sz w:val="26"/>
          <w:szCs w:val="26"/>
        </w:rPr>
        <w:t xml:space="preserve">/10/2026 gửi Công ty CP Xây dựng Phục Hưng Holdings, giá trúng thầu 214.000.000.000 đồng (chưa VAT), phạm vi gồm công tác đất và kết cấu phần ngầm;</w:t>
      </w:r>
    </w:p>
    <w:p>
      <w:pPr>
        <w:spacing w:after="30" w:before="0" w:line="288"/>
        <w:ind w:left="400" w:hanging="220"/>
        <w:jc w:val="both"/>
      </w:pPr>
      <w:r>
        <w:rPr>
          <w:rFonts w:ascii="Times New Roman" w:cs="Times New Roman" w:eastAsia="Times New Roman" w:hAnsi="Times New Roman"/>
          <w:b w:val="false"/>
          <w:bCs w:val="false"/>
          <w:sz w:val="26"/>
          <w:szCs w:val="26"/>
        </w:rPr>
        <w:t xml:space="preserve">+ Tờ trình số 29092026-01/TTr/EC-YS ngày 29/09/2026 về phê duyệt đơn vị thi công công tác đất – NOXH Yên Sở (Công ty Hoàng Minh);</w:t>
      </w:r>
    </w:p>
    <w:p>
      <w:pPr>
        <w:spacing w:after="30" w:before="0" w:line="288"/>
        <w:ind w:left="400" w:hanging="220"/>
        <w:jc w:val="both"/>
      </w:pPr>
      <w:r>
        <w:rPr>
          <w:rFonts w:ascii="Times New Roman" w:cs="Times New Roman" w:eastAsia="Times New Roman" w:hAnsi="Times New Roman"/>
          <w:b w:val="false"/>
          <w:bCs w:val="false"/>
          <w:sz w:val="26"/>
          <w:szCs w:val="26"/>
        </w:rPr>
        <w:t xml:space="preserve">+ Kết quả thương thảo hợp đồng với Phục Hưng ngày 17/10/2026 và dự thảo hợp đồng hoàn thiện ngày 19/10/2026.</w:t>
      </w:r>
    </w:p>
    <w:p>
      <w:pPr>
        <w:spacing w:after="80" w:before="160" w:line="288"/>
        <w:jc w:val="both"/>
      </w:pPr>
      <w:r>
        <w:rPr>
          <w:rFonts w:ascii="Times New Roman" w:cs="Times New Roman" w:eastAsia="Times New Roman" w:hAnsi="Times New Roman"/>
          <w:b/>
          <w:bCs/>
          <w:sz w:val="26"/>
          <w:szCs w:val="26"/>
        </w:rPr>
        <w:t xml:space="preserve">1. Giá trị hợp đồng</w:t>
      </w:r>
    </w:p>
    <w:p>
      <w:pPr>
        <w:spacing w:after="80" w:before="0" w:line="288"/>
        <w:jc w:val="both"/>
      </w:pPr>
      <w:r>
        <w:rPr>
          <w:rFonts w:ascii="Times New Roman" w:cs="Times New Roman" w:eastAsia="Times New Roman" w:hAnsi="Times New Roman"/>
          <w:b w:val="false"/>
          <w:bCs w:val="false"/>
          <w:sz w:val="26"/>
          <w:szCs w:val="26"/>
        </w:rPr>
        <w:t xml:space="preserve">Phạm vi công việc của Phục Hưng được điều chỉnh: </w:t>
      </w:r>
      <w:r>
        <w:rPr>
          <w:rFonts w:ascii="Times New Roman" w:cs="Times New Roman" w:eastAsia="Times New Roman" w:hAnsi="Times New Roman"/>
          <w:b/>
          <w:bCs/>
          <w:sz w:val="26"/>
          <w:szCs w:val="26"/>
        </w:rPr>
        <w:t xml:space="preserve">loại bỏ công tác đất</w:t>
      </w:r>
      <w:r>
        <w:rPr>
          <w:rFonts w:ascii="Times New Roman" w:cs="Times New Roman" w:eastAsia="Times New Roman" w:hAnsi="Times New Roman"/>
          <w:b w:val="false"/>
          <w:bCs w:val="false"/>
          <w:sz w:val="26"/>
          <w:szCs w:val="26"/>
        </w:rPr>
        <w:t xml:space="preserve"> (đào, vận chuyển, đắp, đập đầu cọc, san gạt nền) đã giao cho Công ty Hoàng Minh theo Tờ trình ngày 29/09/2026; đồng thời không bao gồm công tác chống mối, cọc khoan nhồi móng cẩu tháp, phá dỡ móng cẩu tháp (do nhà thầu khác thực hiện).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500"/>
        <w:gridCol w:w="2100"/>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20" w:before="0" w:line="250"/>
              <w:jc w:val="center"/>
            </w:pPr>
            <w:r>
              <w:rPr>
                <w:rFonts w:ascii="Times New Roman" w:cs="Times New Roman" w:eastAsia="Times New Roman" w:hAnsi="Times New Roman"/>
                <w:b/>
                <w:bCs/>
                <w:sz w:val="24"/>
                <w:szCs w:val="24"/>
              </w:rPr>
              <w:t xml:space="preserve">TT</w:t>
            </w:r>
          </w:p>
        </w:tc>
        <w:tc>
          <w:tcPr>
            <w:tcW w:type="dxa" w:w="44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20" w:before="0" w:line="250"/>
              <w:jc w:val="center"/>
            </w:pPr>
            <w:r>
              <w:rPr>
                <w:rFonts w:ascii="Times New Roman" w:cs="Times New Roman" w:eastAsia="Times New Roman" w:hAnsi="Times New Roman"/>
                <w:b/>
                <w:bCs/>
                <w:sz w:val="24"/>
                <w:szCs w:val="24"/>
              </w:rPr>
              <w:t xml:space="preserve">Nội dung</w:t>
            </w:r>
          </w:p>
        </w:tc>
        <w:tc>
          <w:tcPr>
            <w:tcW w:type="dxa" w:w="2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20" w:before="0" w:line="250"/>
              <w:jc w:val="center"/>
            </w:pPr>
            <w:r>
              <w:rPr>
                <w:rFonts w:ascii="Times New Roman" w:cs="Times New Roman" w:eastAsia="Times New Roman" w:hAnsi="Times New Roman"/>
                <w:b/>
                <w:bCs/>
                <w:sz w:val="24"/>
                <w:szCs w:val="24"/>
              </w:rPr>
              <w:t xml:space="preserve">Giá trị trước VAT (đồng)</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20" w:before="0" w:line="250"/>
              <w:jc w:val="center"/>
            </w:pPr>
            <w:r>
              <w:rPr>
                <w:rFonts w:ascii="Times New Roman" w:cs="Times New Roman" w:eastAsia="Times New Roman" w:hAnsi="Times New Roman"/>
                <w:b/>
                <w:bCs/>
                <w:sz w:val="24"/>
                <w:szCs w:val="24"/>
              </w:rPr>
              <w:t xml:space="preserve">Ghi chú</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center"/>
            </w:pPr>
            <w:r>
              <w:rPr>
                <w:rFonts w:ascii="Times New Roman" w:cs="Times New Roman" w:eastAsia="Times New Roman" w:hAnsi="Times New Roman"/>
                <w:b w:val="false"/>
                <w:bCs w:val="false"/>
                <w:sz w:val="24"/>
                <w:szCs w:val="24"/>
              </w:rPr>
              <w:t xml:space="preserve">1</w:t>
            </w:r>
          </w:p>
        </w:tc>
        <w:tc>
          <w:tcPr>
            <w:tcW w:type="dxa" w:w="4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Giá trúng thầu theo LOA (gồm công tác đất)</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right"/>
            </w:pPr>
            <w:r>
              <w:rPr>
                <w:rFonts w:ascii="Times New Roman" w:cs="Times New Roman" w:eastAsia="Times New Roman" w:hAnsi="Times New Roman"/>
                <w:b w:val="false"/>
                <w:bCs w:val="false"/>
                <w:sz w:val="24"/>
                <w:szCs w:val="24"/>
              </w:rPr>
              <w:t xml:space="preserve">214.000.000.000</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Chưa VAT</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center"/>
            </w:pPr>
            <w:r>
              <w:rPr>
                <w:rFonts w:ascii="Times New Roman" w:cs="Times New Roman" w:eastAsia="Times New Roman" w:hAnsi="Times New Roman"/>
                <w:b w:val="false"/>
                <w:bCs w:val="false"/>
                <w:sz w:val="24"/>
                <w:szCs w:val="24"/>
              </w:rPr>
              <w:t xml:space="preserve">2</w:t>
            </w:r>
          </w:p>
        </w:tc>
        <w:tc>
          <w:tcPr>
            <w:tcW w:type="dxa" w:w="4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Giá trị hợp đồng mới (bỏ công tác đất)</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right"/>
            </w:pPr>
            <w:r>
              <w:rPr>
                <w:rFonts w:ascii="Times New Roman" w:cs="Times New Roman" w:eastAsia="Times New Roman" w:hAnsi="Times New Roman"/>
                <w:b w:val="false"/>
                <w:bCs w:val="false"/>
                <w:sz w:val="24"/>
                <w:szCs w:val="24"/>
              </w:rPr>
              <w:t xml:space="preserve">200.313.952.392</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Sau VAT 8%: 216.339.068.583</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center"/>
            </w:pPr>
            <w:r>
              <w:rPr>
                <w:rFonts w:ascii="Times New Roman" w:cs="Times New Roman" w:eastAsia="Times New Roman" w:hAnsi="Times New Roman"/>
                <w:b w:val="false"/>
                <w:bCs w:val="false"/>
                <w:sz w:val="24"/>
                <w:szCs w:val="24"/>
              </w:rPr>
              <w:t xml:space="preserve">3</w:t>
            </w:r>
          </w:p>
        </w:tc>
        <w:tc>
          <w:tcPr>
            <w:tcW w:type="dxa" w:w="4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Chênh lệch giảm (1 − 2)</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right"/>
            </w:pPr>
            <w:r>
              <w:rPr>
                <w:rFonts w:ascii="Times New Roman" w:cs="Times New Roman" w:eastAsia="Times New Roman" w:hAnsi="Times New Roman"/>
                <w:b w:val="false"/>
                <w:bCs w:val="false"/>
                <w:sz w:val="24"/>
                <w:szCs w:val="24"/>
              </w:rPr>
              <w:t xml:space="preserve">13.686.047.608</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Giảm 6,40% so với LOA</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center"/>
            </w:pPr>
            <w:r>
              <w:rPr>
                <w:rFonts w:ascii="Times New Roman" w:cs="Times New Roman" w:eastAsia="Times New Roman" w:hAnsi="Times New Roman"/>
                <w:b w:val="false"/>
                <w:bCs w:val="false"/>
                <w:sz w:val="24"/>
                <w:szCs w:val="24"/>
              </w:rPr>
              <w:t xml:space="preserve">4</w:t>
            </w:r>
          </w:p>
        </w:tc>
        <w:tc>
          <w:tcPr>
            <w:tcW w:type="dxa" w:w="4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Dự toán gói thầu</w:t>
            </w:r>
          </w:p>
        </w:tc>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right"/>
            </w:pPr>
            <w:r>
              <w:rPr>
                <w:rFonts w:ascii="Times New Roman" w:cs="Times New Roman" w:eastAsia="Times New Roman" w:hAnsi="Times New Roman"/>
                <w:b w:val="false"/>
                <w:bCs w:val="false"/>
                <w:sz w:val="24"/>
                <w:szCs w:val="24"/>
                <w:highlight w:val="yellow"/>
              </w:rPr>
              <w:t xml:space="preserve">……</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Giảm so với dự toán: </w:t>
            </w:r>
            <w:r>
              <w:rPr>
                <w:rFonts w:ascii="Times New Roman" w:cs="Times New Roman" w:eastAsia="Times New Roman" w:hAnsi="Times New Roman"/>
                <w:b w:val="false"/>
                <w:bCs w:val="false"/>
                <w:sz w:val="24"/>
                <w:szCs w:val="24"/>
                <w:highlight w:val="yellow"/>
              </w:rPr>
              <w:t xml:space="preserve">……</w:t>
            </w:r>
            <w:r>
              <w:rPr>
                <w:rFonts w:ascii="Times New Roman" w:cs="Times New Roman" w:eastAsia="Times New Roman" w:hAnsi="Times New Roman"/>
                <w:b w:val="false"/>
                <w:bCs w:val="false"/>
                <w:sz w:val="24"/>
                <w:szCs w:val="24"/>
              </w:rPr>
              <w:t xml:space="preserve">%</w:t>
            </w:r>
          </w:p>
        </w:tc>
      </w:tr>
    </w:tbl>
    <w:p>
      <w:pPr>
        <w:spacing w:after="80" w:before="60" w:line="288"/>
        <w:jc w:val="both"/>
      </w:pPr>
      <w:r>
        <w:rPr>
          <w:rFonts w:ascii="Times New Roman" w:cs="Times New Roman" w:eastAsia="Times New Roman" w:hAnsi="Times New Roman"/>
          <w:b/>
          <w:bCs/>
          <w:i/>
          <w:iCs/>
          <w:sz w:val="24"/>
          <w:szCs w:val="24"/>
        </w:rPr>
        <w:t xml:space="preserve">Kiểm tra tỷ lệ:</w:t>
      </w:r>
      <w:r>
        <w:rPr>
          <w:rFonts w:ascii="Times New Roman" w:cs="Times New Roman" w:eastAsia="Times New Roman" w:hAnsi="Times New Roman"/>
          <w:b w:val="false"/>
          <w:bCs w:val="false"/>
          <w:i/>
          <w:iCs/>
          <w:sz w:val="24"/>
          <w:szCs w:val="24"/>
        </w:rPr>
        <w:t xml:space="preserve"> so với giá trúng thầu tại LOA, giá trị hợp đồng mới giảm </w:t>
      </w:r>
      <w:r>
        <w:rPr>
          <w:rFonts w:ascii="Times New Roman" w:cs="Times New Roman" w:eastAsia="Times New Roman" w:hAnsi="Times New Roman"/>
          <w:b/>
          <w:bCs/>
          <w:i/>
          <w:iCs/>
          <w:sz w:val="24"/>
          <w:szCs w:val="24"/>
        </w:rPr>
        <w:t xml:space="preserve">6,40%</w:t>
      </w:r>
      <w:r>
        <w:rPr>
          <w:rFonts w:ascii="Times New Roman" w:cs="Times New Roman" w:eastAsia="Times New Roman" w:hAnsi="Times New Roman"/>
          <w:b w:val="false"/>
          <w:bCs w:val="false"/>
          <w:i/>
          <w:iCs/>
          <w:sz w:val="24"/>
          <w:szCs w:val="24"/>
        </w:rPr>
        <w:t xml:space="preserve"> (không phải 4,8%). LOA không ghi giá trị dự toán; nếu tỷ lệ 4,8% là so với dự toán thì dự toán (trước VAT) phải ≈ 210,41 tỷ đồng (200,31 / 0,952) – đề nghị đối chiếu với dự toán được duyệt.</w:t>
      </w:r>
    </w:p>
    <w:p>
      <w:pPr>
        <w:spacing w:after="80" w:before="60" w:line="288"/>
        <w:jc w:val="both"/>
      </w:pPr>
      <w:r>
        <w:rPr>
          <w:rFonts w:ascii="Times New Roman" w:cs="Times New Roman" w:eastAsia="Times New Roman" w:hAnsi="Times New Roman"/>
          <w:b w:val="false"/>
          <w:bCs w:val="false"/>
          <w:sz w:val="26"/>
          <w:szCs w:val="26"/>
        </w:rPr>
        <w:t xml:space="preserve">Hình thức giá: </w:t>
      </w:r>
      <w:r>
        <w:rPr>
          <w:rFonts w:ascii="Times New Roman" w:cs="Times New Roman" w:eastAsia="Times New Roman" w:hAnsi="Times New Roman"/>
          <w:b/>
          <w:bCs/>
          <w:sz w:val="26"/>
          <w:szCs w:val="26"/>
        </w:rPr>
        <w:t xml:space="preserve">đơn giá cố định</w:t>
      </w:r>
      <w:r>
        <w:rPr>
          <w:rFonts w:ascii="Times New Roman" w:cs="Times New Roman" w:eastAsia="Times New Roman" w:hAnsi="Times New Roman"/>
          <w:b w:val="false"/>
          <w:bCs w:val="false"/>
          <w:sz w:val="26"/>
          <w:szCs w:val="26"/>
        </w:rPr>
        <w:t xml:space="preserve">, không điều chỉnh theo biến động giá vật tư; thanh toán theo khối lượng thực tế được nghiệm thu. Chi phí chung và chi phí cẩu tháp là trọn gói. Khối lượng bể nước sinh hoạt, PCCC, xử lý nước thải là tạm tính, điều chỉnh khi có thiết kế bản vẽ thi công.</w:t>
      </w:r>
    </w:p>
    <w:p>
      <w:pPr>
        <w:spacing w:after="80" w:before="160" w:line="288"/>
        <w:jc w:val="both"/>
      </w:pPr>
      <w:r>
        <w:rPr>
          <w:rFonts w:ascii="Times New Roman" w:cs="Times New Roman" w:eastAsia="Times New Roman" w:hAnsi="Times New Roman"/>
          <w:b/>
          <w:bCs/>
          <w:sz w:val="26"/>
          <w:szCs w:val="26"/>
        </w:rPr>
        <w:t xml:space="preserve">2. Các điều kiện chính của hợp đồng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4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20" w:before="0" w:line="250"/>
              <w:jc w:val="center"/>
            </w:pPr>
            <w:r>
              <w:rPr>
                <w:rFonts w:ascii="Times New Roman" w:cs="Times New Roman" w:eastAsia="Times New Roman" w:hAnsi="Times New Roman"/>
                <w:b/>
                <w:bCs/>
                <w:sz w:val="24"/>
                <w:szCs w:val="24"/>
              </w:rPr>
              <w:t xml:space="preserve">Nội dung</w:t>
            </w:r>
          </w:p>
        </w:tc>
        <w:tc>
          <w:tcPr>
            <w:tcW w:type="dxa" w:w="4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20" w:before="0" w:line="250"/>
              <w:jc w:val="center"/>
            </w:pPr>
            <w:r>
              <w:rPr>
                <w:rFonts w:ascii="Times New Roman" w:cs="Times New Roman" w:eastAsia="Times New Roman" w:hAnsi="Times New Roman"/>
                <w:b/>
                <w:bCs/>
                <w:sz w:val="24"/>
                <w:szCs w:val="24"/>
              </w:rPr>
              <w:t xml:space="preserve">Điều kiện theo dự thảo HĐ (19/10/2026)</w:t>
            </w:r>
          </w:p>
        </w:tc>
        <w:tc>
          <w:tcPr>
            <w:tcW w:type="dxa" w:w="34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20" w:before="0" w:line="250"/>
              <w:jc w:val="center"/>
            </w:pPr>
            <w:r>
              <w:rPr>
                <w:rFonts w:ascii="Times New Roman" w:cs="Times New Roman" w:eastAsia="Times New Roman" w:hAnsi="Times New Roman"/>
                <w:b/>
                <w:bCs/>
                <w:sz w:val="24"/>
                <w:szCs w:val="24"/>
              </w:rPr>
              <w:t xml:space="preserve">Đề xuất / Ghi chú</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bCs/>
                <w:sz w:val="24"/>
                <w:szCs w:val="24"/>
              </w:rPr>
              <w:t xml:space="preserve">Tạm ứng</w:t>
            </w:r>
          </w:p>
        </w:tc>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 Phục Hưng đề xuất: tạm ứng </w:t>
            </w:r>
            <w:r>
              <w:rPr>
                <w:rFonts w:ascii="Times New Roman" w:cs="Times New Roman" w:eastAsia="Times New Roman" w:hAnsi="Times New Roman"/>
                <w:b/>
                <w:bCs/>
                <w:sz w:val="24"/>
                <w:szCs w:val="24"/>
              </w:rPr>
              <w:t xml:space="preserve">25%</w:t>
            </w:r>
            <w:r>
              <w:rPr>
                <w:rFonts w:ascii="Times New Roman" w:cs="Times New Roman" w:eastAsia="Times New Roman" w:hAnsi="Times New Roman"/>
                <w:b w:val="false"/>
                <w:bCs w:val="false"/>
                <w:sz w:val="24"/>
                <w:szCs w:val="24"/>
              </w:rPr>
              <w:t xml:space="preserve"> giá trị HĐ trước thuế (50.078.488.098 đồng) và </w:t>
            </w:r>
            <w:r>
              <w:rPr>
                <w:rFonts w:ascii="Times New Roman" w:cs="Times New Roman" w:eastAsia="Times New Roman" w:hAnsi="Times New Roman"/>
                <w:b/>
                <w:bCs/>
                <w:sz w:val="24"/>
                <w:szCs w:val="24"/>
              </w:rPr>
              <w:t xml:space="preserve">tạm ứng vật tư</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highlight w:val="yellow"/>
              </w:rPr>
              <w:t xml:space="preserve">…</w:t>
            </w:r>
            <w:r>
              <w:rPr>
                <w:rFonts w:ascii="Times New Roman" w:cs="Times New Roman" w:eastAsia="Times New Roman" w:hAnsi="Times New Roman"/>
                <w:b w:val="false"/>
                <w:bCs w:val="false"/>
                <w:sz w:val="24"/>
                <w:szCs w:val="24"/>
              </w:rPr>
              <w:t xml:space="preserve">% (Phục Hưng chưa báo lại tỷ lệ).</w:t>
            </w:r>
          </w:p>
          <w:p>
            <w:pPr>
              <w:spacing w:after="20" w:before="0" w:line="250"/>
              <w:jc w:val="left"/>
            </w:pPr>
            <w:r>
              <w:rPr>
                <w:rFonts w:ascii="Times New Roman" w:cs="Times New Roman" w:eastAsia="Times New Roman" w:hAnsi="Times New Roman"/>
                <w:b w:val="false"/>
                <w:bCs w:val="false"/>
                <w:sz w:val="24"/>
                <w:szCs w:val="24"/>
              </w:rPr>
              <w:t xml:space="preserve">– Điều kiện: có bảo lãnh tạm ứng 100% giá trị tạm ứng; tạm ứng trong 07 ngày làm việc kể từ khi nhận đủ hồ sơ.</w:t>
            </w:r>
          </w:p>
          <w:p>
            <w:pPr>
              <w:spacing w:after="20" w:before="0" w:line="250"/>
              <w:jc w:val="left"/>
            </w:pPr>
            <w:r>
              <w:rPr>
                <w:rFonts w:ascii="Times New Roman" w:cs="Times New Roman" w:eastAsia="Times New Roman" w:hAnsi="Times New Roman"/>
                <w:b w:val="false"/>
                <w:bCs w:val="false"/>
                <w:sz w:val="24"/>
                <w:szCs w:val="24"/>
              </w:rPr>
              <w:t xml:space="preserve">– Thu hồi dần từ đợt thanh toán đầu, thu hết khi khối lượng hoàn thành đạt 80% giá trị HĐ.</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 Tạm ứng 25%: đã thống nhất tại thương thảo.</w:t>
            </w:r>
          </w:p>
          <w:p>
            <w:pPr>
              <w:spacing w:after="20" w:before="0" w:line="250"/>
              <w:jc w:val="left"/>
            </w:pPr>
            <w:r>
              <w:rPr>
                <w:rFonts w:ascii="Times New Roman" w:cs="Times New Roman" w:eastAsia="Times New Roman" w:hAnsi="Times New Roman"/>
                <w:b w:val="false"/>
                <w:bCs w:val="false"/>
                <w:sz w:val="24"/>
                <w:szCs w:val="24"/>
              </w:rPr>
              <w:t xml:space="preserve">– Tạm ứng vật tư: chỉ xem xét khi có hợp đồng mua bán, hóa đơn của nhà cung cấp và bảo lãnh tương ứng 100%; thu hồi toàn bộ khi vật tư được nghiệm thu đưa vào công trình; tổng tạm ứng (hợp đồng + vật tư) không vượt </w:t>
            </w:r>
            <w:r>
              <w:rPr>
                <w:rFonts w:ascii="Times New Roman" w:cs="Times New Roman" w:eastAsia="Times New Roman" w:hAnsi="Times New Roman"/>
                <w:b w:val="false"/>
                <w:bCs w:val="false"/>
                <w:sz w:val="24"/>
                <w:szCs w:val="24"/>
                <w:highlight w:val="yellow"/>
              </w:rPr>
              <w:t xml:space="preserve">…</w:t>
            </w:r>
            <w:r>
              <w:rPr>
                <w:rFonts w:ascii="Times New Roman" w:cs="Times New Roman" w:eastAsia="Times New Roman" w:hAnsi="Times New Roman"/>
                <w:b w:val="false"/>
                <w:bCs w:val="false"/>
                <w:sz w:val="24"/>
                <w:szCs w:val="24"/>
              </w:rPr>
              <w:t xml:space="preserve">% giá trị HĐ.</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bCs/>
                <w:sz w:val="24"/>
                <w:szCs w:val="24"/>
              </w:rPr>
              <w:t xml:space="preserve">Thanh toán</w:t>
            </w:r>
          </w:p>
        </w:tc>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 Hằng tháng theo khối lượng được nghiệm thu; thanh toán </w:t>
            </w:r>
            <w:r>
              <w:rPr>
                <w:rFonts w:ascii="Times New Roman" w:cs="Times New Roman" w:eastAsia="Times New Roman" w:hAnsi="Times New Roman"/>
                <w:b/>
                <w:bCs/>
                <w:sz w:val="24"/>
                <w:szCs w:val="24"/>
              </w:rPr>
              <w:t xml:space="preserve">90%</w:t>
            </w:r>
            <w:r>
              <w:rPr>
                <w:rFonts w:ascii="Times New Roman" w:cs="Times New Roman" w:eastAsia="Times New Roman" w:hAnsi="Times New Roman"/>
                <w:b w:val="false"/>
                <w:bCs w:val="false"/>
                <w:sz w:val="24"/>
                <w:szCs w:val="24"/>
              </w:rPr>
              <w:t xml:space="preserve"> giá trị đợt, sau khi trừ thu hồi tạm ứng và các khoản khấu trừ.</w:t>
            </w:r>
          </w:p>
          <w:p>
            <w:pPr>
              <w:spacing w:after="20" w:before="0" w:line="250"/>
              <w:jc w:val="left"/>
            </w:pPr>
            <w:r>
              <w:rPr>
                <w:rFonts w:ascii="Times New Roman" w:cs="Times New Roman" w:eastAsia="Times New Roman" w:hAnsi="Times New Roman"/>
                <w:b w:val="false"/>
                <w:bCs w:val="false"/>
                <w:sz w:val="24"/>
                <w:szCs w:val="24"/>
              </w:rPr>
              <w:t xml:space="preserve">– Bên A xác nhận hồ sơ trong </w:t>
            </w:r>
            <w:r>
              <w:rPr>
                <w:rFonts w:ascii="Times New Roman" w:cs="Times New Roman" w:eastAsia="Times New Roman" w:hAnsi="Times New Roman"/>
                <w:b/>
                <w:bCs/>
                <w:sz w:val="24"/>
                <w:szCs w:val="24"/>
              </w:rPr>
              <w:t xml:space="preserve">15 ngày</w:t>
            </w:r>
            <w:r>
              <w:rPr>
                <w:rFonts w:ascii="Times New Roman" w:cs="Times New Roman" w:eastAsia="Times New Roman" w:hAnsi="Times New Roman"/>
                <w:b w:val="false"/>
                <w:bCs w:val="false"/>
                <w:sz w:val="24"/>
                <w:szCs w:val="24"/>
              </w:rPr>
              <w:t xml:space="preserve">, thanh toán trong </w:t>
            </w:r>
            <w:r>
              <w:rPr>
                <w:rFonts w:ascii="Times New Roman" w:cs="Times New Roman" w:eastAsia="Times New Roman" w:hAnsi="Times New Roman"/>
                <w:b w:val="false"/>
                <w:bCs w:val="false"/>
                <w:sz w:val="24"/>
                <w:szCs w:val="24"/>
                <w:highlight w:val="yellow"/>
              </w:rPr>
              <w:t xml:space="preserve">20</w:t>
            </w:r>
            <w:r>
              <w:rPr>
                <w:rFonts w:ascii="Times New Roman" w:cs="Times New Roman" w:eastAsia="Times New Roman" w:hAnsi="Times New Roman"/>
                <w:b w:val="false"/>
                <w:bCs w:val="false"/>
                <w:sz w:val="24"/>
                <w:szCs w:val="24"/>
              </w:rPr>
              <w:t xml:space="preserve"> ngày kể từ ngày xác nhận.</w:t>
            </w:r>
          </w:p>
          <w:p>
            <w:pPr>
              <w:spacing w:after="20" w:before="0" w:line="250"/>
              <w:jc w:val="left"/>
            </w:pPr>
            <w:r>
              <w:rPr>
                <w:rFonts w:ascii="Times New Roman" w:cs="Times New Roman" w:eastAsia="Times New Roman" w:hAnsi="Times New Roman"/>
                <w:b w:val="false"/>
                <w:bCs w:val="false"/>
                <w:sz w:val="24"/>
                <w:szCs w:val="24"/>
              </w:rPr>
              <w:t xml:space="preserve">– Không áp dụng lãi chậm thanh toán.</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Thời hạn thanh toán: biên bản thương thảo ghi 20 ngày, bản dự thảo gần nhất ghi 14 ngày – đề nghị chốt một con số.</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bCs/>
                <w:sz w:val="24"/>
                <w:szCs w:val="24"/>
              </w:rPr>
              <w:t xml:space="preserve">Quyết toán</w:t>
            </w:r>
          </w:p>
        </w:tc>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 Bên B nộp hồ sơ quyết toán trong 30 ngày sau khi hoàn thành; Bên A xác nhận trong 30 ngày.</w:t>
            </w:r>
          </w:p>
          <w:p>
            <w:pPr>
              <w:spacing w:after="20" w:before="0" w:line="250"/>
              <w:jc w:val="left"/>
            </w:pPr>
            <w:r>
              <w:rPr>
                <w:rFonts w:ascii="Times New Roman" w:cs="Times New Roman" w:eastAsia="Times New Roman" w:hAnsi="Times New Roman"/>
                <w:b w:val="false"/>
                <w:bCs w:val="false"/>
                <w:sz w:val="24"/>
                <w:szCs w:val="24"/>
              </w:rPr>
              <w:t xml:space="preserve">– Quyết toán sau khi Chủ đầu tư phê duyệt giá trị quyết toán phần việc tương ứng theo HĐ thầu chính.</w:t>
            </w:r>
          </w:p>
          <w:p>
            <w:pPr>
              <w:spacing w:after="20" w:before="0" w:line="250"/>
              <w:jc w:val="left"/>
            </w:pPr>
            <w:r>
              <w:rPr>
                <w:rFonts w:ascii="Times New Roman" w:cs="Times New Roman" w:eastAsia="Times New Roman" w:hAnsi="Times New Roman"/>
                <w:b w:val="false"/>
                <w:bCs w:val="false"/>
                <w:sz w:val="24"/>
                <w:szCs w:val="24"/>
              </w:rPr>
              <w:t xml:space="preserve">– Thanh toán đến </w:t>
            </w:r>
            <w:r>
              <w:rPr>
                <w:rFonts w:ascii="Times New Roman" w:cs="Times New Roman" w:eastAsia="Times New Roman" w:hAnsi="Times New Roman"/>
                <w:b/>
                <w:bCs/>
                <w:sz w:val="24"/>
                <w:szCs w:val="24"/>
              </w:rPr>
              <w:t xml:space="preserve">95%</w:t>
            </w:r>
            <w:r>
              <w:rPr>
                <w:rFonts w:ascii="Times New Roman" w:cs="Times New Roman" w:eastAsia="Times New Roman" w:hAnsi="Times New Roman"/>
                <w:b w:val="false"/>
                <w:bCs w:val="false"/>
                <w:sz w:val="24"/>
                <w:szCs w:val="24"/>
              </w:rPr>
              <w:t xml:space="preserve"> giá trị quyết toán, giữ lại 5% bảo hành.</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Bảo đảm dòng tiền Bên A phù hợp với quyết toán của Chủ đầu tư.</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bCs/>
                <w:sz w:val="24"/>
                <w:szCs w:val="24"/>
              </w:rPr>
              <w:t xml:space="preserve">Bảo hành</w:t>
            </w:r>
          </w:p>
        </w:tc>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36 tháng</w:t>
            </w:r>
            <w:r>
              <w:rPr>
                <w:rFonts w:ascii="Times New Roman" w:cs="Times New Roman" w:eastAsia="Times New Roman" w:hAnsi="Times New Roman"/>
                <w:b w:val="false"/>
                <w:bCs w:val="false"/>
                <w:sz w:val="24"/>
                <w:szCs w:val="24"/>
              </w:rPr>
              <w:t xml:space="preserve"> kể từ khi Chủ đầu tư nghiệm thu hoàn thành, không ngắn hơn thời hạn bảo hành của Bên A theo HĐ thầu chính.</w:t>
            </w:r>
          </w:p>
          <w:p>
            <w:pPr>
              <w:spacing w:after="20" w:before="0" w:line="250"/>
              <w:jc w:val="left"/>
            </w:pPr>
            <w:r>
              <w:rPr>
                <w:rFonts w:ascii="Times New Roman" w:cs="Times New Roman" w:eastAsia="Times New Roman" w:hAnsi="Times New Roman"/>
                <w:b w:val="false"/>
                <w:bCs w:val="false"/>
                <w:sz w:val="24"/>
                <w:szCs w:val="24"/>
              </w:rPr>
              <w:t xml:space="preserve">– Tiền bảo hành </w:t>
            </w:r>
            <w:r>
              <w:rPr>
                <w:rFonts w:ascii="Times New Roman" w:cs="Times New Roman" w:eastAsia="Times New Roman" w:hAnsi="Times New Roman"/>
                <w:b/>
                <w:bCs/>
                <w:sz w:val="24"/>
                <w:szCs w:val="24"/>
              </w:rPr>
              <w:t xml:space="preserve">5%</w:t>
            </w:r>
            <w:r>
              <w:rPr>
                <w:rFonts w:ascii="Times New Roman" w:cs="Times New Roman" w:eastAsia="Times New Roman" w:hAnsi="Times New Roman"/>
                <w:b w:val="false"/>
                <w:bCs w:val="false"/>
                <w:sz w:val="24"/>
                <w:szCs w:val="24"/>
              </w:rPr>
              <w:t xml:space="preserve"> giá trị quyết toán; được thay bằng bảo lãnh bảo hành.</w:t>
            </w:r>
          </w:p>
          <w:p>
            <w:pPr>
              <w:spacing w:after="20" w:before="0" w:line="250"/>
              <w:jc w:val="left"/>
            </w:pPr>
            <w:r>
              <w:rPr>
                <w:rFonts w:ascii="Times New Roman" w:cs="Times New Roman" w:eastAsia="Times New Roman" w:hAnsi="Times New Roman"/>
                <w:b w:val="false"/>
                <w:bCs w:val="false"/>
                <w:sz w:val="24"/>
                <w:szCs w:val="24"/>
              </w:rPr>
              <w:t xml:space="preserve">– Bên B bắt đầu khắc phục trong 07 ngày (sự cố khẩn cấp, thấm: 24 giờ).</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bCs/>
                <w:sz w:val="24"/>
                <w:szCs w:val="24"/>
              </w:rPr>
              <w:t xml:space="preserve">Bảo lãnh của Bên B</w:t>
            </w:r>
          </w:p>
        </w:tc>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 Bảo lãnh tạm ứng: 100% giá trị tạm ứng.</w:t>
            </w:r>
          </w:p>
          <w:p>
            <w:pPr>
              <w:spacing w:after="20" w:before="0" w:line="250"/>
              <w:jc w:val="left"/>
            </w:pPr>
            <w:r>
              <w:rPr>
                <w:rFonts w:ascii="Times New Roman" w:cs="Times New Roman" w:eastAsia="Times New Roman" w:hAnsi="Times New Roman"/>
                <w:b w:val="false"/>
                <w:bCs w:val="false"/>
                <w:sz w:val="24"/>
                <w:szCs w:val="24"/>
              </w:rPr>
              <w:t xml:space="preserve">– Bảo lãnh thực hiện HĐ: </w:t>
            </w:r>
            <w:r>
              <w:rPr>
                <w:rFonts w:ascii="Times New Roman" w:cs="Times New Roman" w:eastAsia="Times New Roman" w:hAnsi="Times New Roman"/>
                <w:b/>
                <w:bCs/>
                <w:sz w:val="24"/>
                <w:szCs w:val="24"/>
              </w:rPr>
              <w:t xml:space="preserve">5%</w:t>
            </w:r>
            <w:r>
              <w:rPr>
                <w:rFonts w:ascii="Times New Roman" w:cs="Times New Roman" w:eastAsia="Times New Roman" w:hAnsi="Times New Roman"/>
                <w:b w:val="false"/>
                <w:bCs w:val="false"/>
                <w:sz w:val="24"/>
                <w:szCs w:val="24"/>
              </w:rPr>
              <w:t xml:space="preserve"> giá trị HĐ, nộp trong 14 ngày kể từ ngày ký.</w:t>
            </w:r>
          </w:p>
          <w:p>
            <w:pPr>
              <w:spacing w:after="20" w:before="0" w:line="250"/>
              <w:jc w:val="left"/>
            </w:pPr>
            <w:r>
              <w:rPr>
                <w:rFonts w:ascii="Times New Roman" w:cs="Times New Roman" w:eastAsia="Times New Roman" w:hAnsi="Times New Roman"/>
                <w:b w:val="false"/>
                <w:bCs w:val="false"/>
                <w:sz w:val="24"/>
                <w:szCs w:val="24"/>
              </w:rPr>
              <w:t xml:space="preserve">– Bảo lãnh bảo hành: 5% giá trị quyết toán.</w:t>
            </w:r>
          </w:p>
          <w:p>
            <w:pPr>
              <w:spacing w:after="20" w:before="0" w:line="250"/>
              <w:jc w:val="left"/>
            </w:pPr>
            <w:r>
              <w:rPr>
                <w:rFonts w:ascii="Times New Roman" w:cs="Times New Roman" w:eastAsia="Times New Roman" w:hAnsi="Times New Roman"/>
                <w:b w:val="false"/>
                <w:bCs w:val="false"/>
                <w:sz w:val="24"/>
                <w:szCs w:val="24"/>
              </w:rPr>
              <w:t xml:space="preserve">– Hình thức: vô điều kiện, không hủy ngang, ngân hàng thương mại được Bên A chấp thuận.</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bCs/>
                <w:sz w:val="24"/>
                <w:szCs w:val="24"/>
              </w:rPr>
              <w:t xml:space="preserve">Bảo lãnh của Bên A</w:t>
            </w:r>
          </w:p>
        </w:tc>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Bảo lãnh thanh toán </w:t>
            </w:r>
            <w:r>
              <w:rPr>
                <w:rFonts w:ascii="Times New Roman" w:cs="Times New Roman" w:eastAsia="Times New Roman" w:hAnsi="Times New Roman"/>
                <w:b/>
                <w:bCs/>
                <w:sz w:val="24"/>
                <w:szCs w:val="24"/>
              </w:rPr>
              <w:t xml:space="preserve">15%</w:t>
            </w:r>
            <w:r>
              <w:rPr>
                <w:rFonts w:ascii="Times New Roman" w:cs="Times New Roman" w:eastAsia="Times New Roman" w:hAnsi="Times New Roman"/>
                <w:b w:val="false"/>
                <w:bCs w:val="false"/>
                <w:sz w:val="24"/>
                <w:szCs w:val="24"/>
              </w:rPr>
              <w:t xml:space="preserve"> giá trị HĐ (≈ 32,45 tỷ đồng), phát hành trong 20 ngày kể từ ngày ký, hiệu lực đến khi phê duyệt quyết toán (theo đề nghị của Phục Hưng).</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bCs/>
                <w:sz w:val="24"/>
                <w:szCs w:val="24"/>
              </w:rPr>
              <w:t xml:space="preserve">Lưu ý:</w:t>
            </w:r>
            <w:r>
              <w:rPr>
                <w:rFonts w:ascii="Times New Roman" w:cs="Times New Roman" w:eastAsia="Times New Roman" w:hAnsi="Times New Roman"/>
                <w:b w:val="false"/>
                <w:bCs w:val="false"/>
                <w:sz w:val="24"/>
                <w:szCs w:val="24"/>
              </w:rPr>
              <w:t xml:space="preserve"> nghĩa vụ tài chính lớn, chiếm hạn mức tín dụng. Đề nghị TGĐ cho ý kiến.</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bCs/>
                <w:sz w:val="24"/>
                <w:szCs w:val="24"/>
              </w:rPr>
              <w:t xml:space="preserve">Phạt, bồi thường</w:t>
            </w:r>
          </w:p>
        </w:tc>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r>
              <w:rPr>
                <w:rFonts w:ascii="Times New Roman" w:cs="Times New Roman" w:eastAsia="Times New Roman" w:hAnsi="Times New Roman"/>
                <w:b w:val="false"/>
                <w:bCs w:val="false"/>
                <w:sz w:val="24"/>
                <w:szCs w:val="24"/>
              </w:rPr>
              <w:t xml:space="preserve">Phạt chậm tiến độ 0,1%/ngày, tối đa 8%; tổng mức phạt không quá 10% giá trị HĐ. Lỗi của Bên B do Bên B khắc phục 100% và bồi thường.</w:t>
            </w:r>
          </w:p>
        </w:tc>
        <w:tc>
          <w:tcPr>
            <w:tcW w:type="dxa" w:w="3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20" w:before="0" w:line="250"/>
              <w:jc w:val="left"/>
            </w:pPr>
          </w:p>
        </w:tc>
      </w:tr>
    </w:tbl>
    <w:p>
      <w:pPr>
        <w:spacing w:after="80" w:before="160" w:line="288"/>
        <w:jc w:val="both"/>
      </w:pPr>
      <w:r>
        <w:rPr>
          <w:rFonts w:ascii="Times New Roman" w:cs="Times New Roman" w:eastAsia="Times New Roman" w:hAnsi="Times New Roman"/>
          <w:b/>
          <w:bCs/>
          <w:sz w:val="26"/>
          <w:szCs w:val="26"/>
        </w:rPr>
        <w:t xml:space="preserve">3. Nội dung còn để ngỏ</w:t>
      </w:r>
    </w:p>
    <w:p>
      <w:pPr>
        <w:spacing w:after="20" w:before="0" w:line="288"/>
        <w:ind w:left="200" w:hanging="0"/>
        <w:jc w:val="both"/>
      </w:pPr>
      <w:r>
        <w:rPr>
          <w:rFonts w:ascii="Times New Roman" w:cs="Times New Roman" w:eastAsia="Times New Roman" w:hAnsi="Times New Roman"/>
          <w:b w:val="false"/>
          <w:bCs w:val="false"/>
          <w:sz w:val="26"/>
          <w:szCs w:val="26"/>
        </w:rPr>
        <w:t xml:space="preserve">– Tiến độ thực hiện hợp đồng (Điều 7.1): hai bên tiếp tục thống nhất.</w:t>
      </w:r>
    </w:p>
    <w:p>
      <w:pPr>
        <w:spacing w:after="20" w:before="0" w:line="288"/>
        <w:ind w:left="200" w:hanging="0"/>
        <w:jc w:val="both"/>
      </w:pPr>
      <w:r>
        <w:rPr>
          <w:rFonts w:ascii="Times New Roman" w:cs="Times New Roman" w:eastAsia="Times New Roman" w:hAnsi="Times New Roman"/>
          <w:b w:val="false"/>
          <w:bCs w:val="false"/>
          <w:sz w:val="26"/>
          <w:szCs w:val="26"/>
        </w:rPr>
        <w:t xml:space="preserve">– Tỷ lệ tạm ứng vật tư: chờ Phục Hưng đề xuất.</w:t>
      </w:r>
    </w:p>
    <w:p>
      <w:pPr>
        <w:spacing w:after="80" w:before="160" w:line="288"/>
        <w:jc w:val="both"/>
      </w:pPr>
      <w:r>
        <w:rPr>
          <w:rFonts w:ascii="Times New Roman" w:cs="Times New Roman" w:eastAsia="Times New Roman" w:hAnsi="Times New Roman"/>
          <w:b/>
          <w:bCs/>
          <w:sz w:val="26"/>
          <w:szCs w:val="26"/>
        </w:rPr>
        <w:t xml:space="preserve">4. Kiến nghị</w:t>
      </w:r>
    </w:p>
    <w:p>
      <w:pPr>
        <w:spacing w:after="80" w:before="0" w:line="288"/>
        <w:jc w:val="both"/>
      </w:pPr>
      <w:r>
        <w:rPr>
          <w:rFonts w:ascii="Times New Roman" w:cs="Times New Roman" w:eastAsia="Times New Roman" w:hAnsi="Times New Roman"/>
          <w:b w:val="false"/>
          <w:bCs w:val="false"/>
          <w:sz w:val="26"/>
          <w:szCs w:val="26"/>
        </w:rPr>
        <w:t xml:space="preserve">Kính đề nghị Tổng Giám đốc xem xét, phê duyệt:</w:t>
      </w:r>
    </w:p>
    <w:p>
      <w:pPr>
        <w:spacing w:after="30" w:before="0" w:line="288"/>
        <w:ind w:left="400" w:hanging="260"/>
        <w:jc w:val="both"/>
      </w:pPr>
      <w:r>
        <w:rPr>
          <w:rFonts w:ascii="Times New Roman" w:cs="Times New Roman" w:eastAsia="Times New Roman" w:hAnsi="Times New Roman"/>
          <w:b w:val="false"/>
          <w:bCs w:val="false"/>
          <w:sz w:val="26"/>
          <w:szCs w:val="26"/>
        </w:rPr>
        <w:t xml:space="preserve">1. Giá trị hợp đồng (tạm tính) với Công ty CP Xây dựng Phục Hưng Holdings: 216.339.068.583 đồng (đã gồm VAT 8%; trước VAT 200.313.952.392 đồng), phạm vi không bao gồm công tác đất;</w:t>
      </w:r>
    </w:p>
    <w:p>
      <w:pPr>
        <w:spacing w:after="30" w:before="0" w:line="288"/>
        <w:ind w:left="400" w:hanging="260"/>
        <w:jc w:val="both"/>
      </w:pPr>
      <w:r>
        <w:rPr>
          <w:rFonts w:ascii="Times New Roman" w:cs="Times New Roman" w:eastAsia="Times New Roman" w:hAnsi="Times New Roman"/>
          <w:b w:val="false"/>
          <w:bCs w:val="false"/>
          <w:sz w:val="26"/>
          <w:szCs w:val="26"/>
        </w:rPr>
        <w:t xml:space="preserve">2. Các điều kiện chính về tạm ứng, thanh toán, quyết toán, bảo hành, bảo lãnh như Mục 2;</w:t>
      </w:r>
    </w:p>
    <w:p>
      <w:pPr>
        <w:spacing w:after="30" w:before="0" w:line="288"/>
        <w:ind w:left="400" w:hanging="260"/>
        <w:jc w:val="both"/>
      </w:pPr>
      <w:r>
        <w:rPr>
          <w:rFonts w:ascii="Times New Roman" w:cs="Times New Roman" w:eastAsia="Times New Roman" w:hAnsi="Times New Roman"/>
          <w:b w:val="false"/>
          <w:bCs w:val="false"/>
          <w:sz w:val="26"/>
          <w:szCs w:val="26"/>
        </w:rPr>
        <w:t xml:space="preserve">3. Giao </w:t>
      </w:r>
      <w:r>
        <w:rPr>
          <w:rFonts w:ascii="Times New Roman" w:cs="Times New Roman" w:eastAsia="Times New Roman" w:hAnsi="Times New Roman"/>
          <w:b w:val="false"/>
          <w:bCs w:val="false"/>
          <w:sz w:val="26"/>
          <w:szCs w:val="26"/>
          <w:highlight w:val="yellow"/>
        </w:rPr>
        <w:t xml:space="preserve">Ban Kinh tế – Hợp đồng</w:t>
      </w:r>
      <w:r>
        <w:rPr>
          <w:rFonts w:ascii="Times New Roman" w:cs="Times New Roman" w:eastAsia="Times New Roman" w:hAnsi="Times New Roman"/>
          <w:b w:val="false"/>
          <w:bCs w:val="false"/>
          <w:sz w:val="26"/>
          <w:szCs w:val="26"/>
        </w:rPr>
        <w:t xml:space="preserve"> hoàn thiện tiến độ, tỷ lệ tạm ứng vật tư và trình ký hợp đồng.</w:t>
      </w:r>
    </w:p>
    <w:p>
      <w:pPr>
        <w:spacing w:after="200" w:before="80" w:line="288"/>
        <w:jc w:val="both"/>
      </w:pPr>
      <w:r>
        <w:rPr>
          <w:rFonts w:ascii="Times New Roman" w:cs="Times New Roman" w:eastAsia="Times New Roman" w:hAnsi="Times New Roman"/>
          <w:b w:val="false"/>
          <w:bCs w:val="false"/>
          <w:sz w:val="26"/>
          <w:szCs w:val="26"/>
        </w:rPr>
        <w:t xml:space="preserve">Trân trọng./.</w:t>
      </w:r>
    </w:p>
    <w:tbl>
      <w:tblPr>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3200"/>
        <w:gridCol w:w="3200"/>
        <w:gridCol w:w="3200"/>
      </w:tblGrid>
      <w:tr>
        <w:tc>
          <w:tcPr>
            <w:tcW w:type="dxa" w:w="3200"/>
            <w:tcBorders>
              <w:top w:val="none" w:color="FFFFFF" w:sz="0"/>
              <w:left w:val="none" w:color="FFFFFF" w:sz="0"/>
              <w:bottom w:val="none" w:color="FFFFFF" w:sz="0"/>
              <w:right w:val="none" w:color="FFFFFF" w:sz="0"/>
            </w:tcBorders>
          </w:tcPr>
          <w:p>
            <w:pPr>
              <w:spacing w:after="80" w:before="0" w:line="288"/>
              <w:jc w:val="center"/>
            </w:pPr>
            <w:r>
              <w:rPr>
                <w:rFonts w:ascii="Times New Roman" w:cs="Times New Roman" w:eastAsia="Times New Roman" w:hAnsi="Times New Roman"/>
                <w:b/>
                <w:bCs/>
                <w:sz w:val="26"/>
                <w:szCs w:val="26"/>
              </w:rPr>
              <w:t xml:space="preserve">PHÊ DUYỆT CỦA TỔNG GIÁM ĐỐC</w:t>
            </w:r>
          </w:p>
        </w:tc>
        <w:tc>
          <w:tcPr>
            <w:tcW w:type="dxa" w:w="3200"/>
            <w:tcBorders>
              <w:top w:val="none" w:color="FFFFFF" w:sz="0"/>
              <w:left w:val="none" w:color="FFFFFF" w:sz="0"/>
              <w:bottom w:val="none" w:color="FFFFFF" w:sz="0"/>
              <w:right w:val="none" w:color="FFFFFF" w:sz="0"/>
            </w:tcBorders>
          </w:tcPr>
          <w:p>
            <w:pPr>
              <w:spacing w:after="80" w:before="0" w:line="288"/>
              <w:jc w:val="center"/>
            </w:pPr>
            <w:r>
              <w:rPr>
                <w:rFonts w:ascii="Times New Roman" w:cs="Times New Roman" w:eastAsia="Times New Roman" w:hAnsi="Times New Roman"/>
                <w:b/>
                <w:bCs/>
                <w:sz w:val="26"/>
                <w:szCs w:val="26"/>
              </w:rPr>
              <w:t xml:space="preserve">TRƯỞNG BỘ PHẬN</w:t>
            </w:r>
          </w:p>
        </w:tc>
        <w:tc>
          <w:tcPr>
            <w:tcW w:type="dxa" w:w="3200"/>
            <w:tcBorders>
              <w:top w:val="none" w:color="FFFFFF" w:sz="0"/>
              <w:left w:val="none" w:color="FFFFFF" w:sz="0"/>
              <w:bottom w:val="none" w:color="FFFFFF" w:sz="0"/>
              <w:right w:val="none" w:color="FFFFFF" w:sz="0"/>
            </w:tcBorders>
          </w:tcPr>
          <w:p>
            <w:pPr>
              <w:spacing w:after="80" w:before="0" w:line="288"/>
              <w:jc w:val="center"/>
            </w:pPr>
            <w:r>
              <w:rPr>
                <w:rFonts w:ascii="Times New Roman" w:cs="Times New Roman" w:eastAsia="Times New Roman" w:hAnsi="Times New Roman"/>
                <w:b/>
                <w:bCs/>
                <w:sz w:val="26"/>
                <w:szCs w:val="26"/>
              </w:rPr>
              <w:t xml:space="preserve">NGƯỜI LẬP</w:t>
            </w:r>
          </w:p>
        </w:tc>
      </w:tr>
    </w:tbl>
    <w:sectPr>
      <w:footerReference w:type="default" r:id="rId7"/>
      <w:pgSz w:w="11906" w:h="16838" w:orient="portrait"/>
      <w:pgMar w:top="1000" w:right="100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2026-10-20T02:21:50.158Z</dcterms:created>
  <dcterms:modified xsi:type="dcterms:W3CDTF">2026-10-20T02:21:50.158Z</dcterms:modified>
</cp:coreProperties>
</file>

<file path=docProps/custom.xml><?xml version="1.0" encoding="utf-8"?>
<Properties xmlns="http://schemas.openxmlformats.org/officeDocument/2006/custom-properties" xmlns:vt="http://schemas.openxmlformats.org/officeDocument/2006/docPropsVTypes"/>
</file>