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300"/>
        <w:jc w:val="center"/>
      </w:pPr>
      <w:r>
        <w:rPr>
          <w:rFonts w:ascii="Times New Roman" w:cs="Times New Roman" w:eastAsia="Times New Roman" w:hAnsi="Times New Roman"/>
          <w:b/>
          <w:bCs/>
          <w:sz w:val="26"/>
          <w:szCs w:val="26"/>
        </w:rPr>
        <w:t xml:space="preserve">CÔNG TY CP ĐẦU TƯ XÂY DỰNG VÀ KỸ THUẬT VNCN E&amp;C</w:t>
      </w:r>
    </w:p>
    <w:p>
      <w:pPr>
        <w:spacing w:after="300" w:before="0" w:line="300"/>
        <w:jc w:val="center"/>
      </w:pPr>
      <w:r>
        <w:rPr>
          <w:rFonts w:ascii="Times New Roman" w:cs="Times New Roman" w:eastAsia="Times New Roman" w:hAnsi="Times New Roman"/>
          <w:b/>
          <w:bCs/>
          <w:sz w:val="26"/>
          <w:szCs w:val="26"/>
          <w:highlight w:val="yellow"/>
        </w:rPr>
        <w:t xml:space="preserve">BAN/PHÒNG LẬP BÁO CÁO</w:t>
      </w:r>
    </w:p>
    <w:p>
      <w:pPr>
        <w:spacing w:after="60" w:before="0" w:line="300"/>
        <w:jc w:val="center"/>
      </w:pPr>
      <w:r>
        <w:rPr>
          <w:rFonts w:ascii="Times New Roman" w:cs="Times New Roman" w:eastAsia="Times New Roman" w:hAnsi="Times New Roman"/>
          <w:b/>
          <w:bCs/>
          <w:sz w:val="32"/>
          <w:szCs w:val="32"/>
        </w:rPr>
        <w:t xml:space="preserve">BÁO CÁO</w:t>
      </w:r>
    </w:p>
    <w:p>
      <w:pPr>
        <w:spacing w:after="80" w:before="0" w:line="300"/>
        <w:jc w:val="center"/>
      </w:pPr>
      <w:r>
        <w:rPr>
          <w:rFonts w:ascii="Times New Roman" w:cs="Times New Roman" w:eastAsia="Times New Roman" w:hAnsi="Times New Roman"/>
          <w:b/>
          <w:bCs/>
          <w:sz w:val="26"/>
          <w:szCs w:val="26"/>
        </w:rPr>
        <w:t xml:space="preserve">RÀ SOÁT HỢP ĐỒNG THI CÔNG PHẦN NGẦM SAU THƯƠNG THẢO NGÀY 17/10/2026 VỚI PHỤC HƯNG – RỦI RO VÀ KIẾN NGHỊ THEO FIDIC, PHÁP LUẬT VIỆT NAM</w:t>
      </w:r>
    </w:p>
    <w:p>
      <w:pPr>
        <w:spacing w:after="60" w:before="0" w:line="300"/>
        <w:jc w:val="center"/>
      </w:pPr>
      <w:r>
        <w:rPr>
          <w:rFonts w:ascii="Times New Roman" w:cs="Times New Roman" w:eastAsia="Times New Roman" w:hAnsi="Times New Roman"/>
          <w:i/>
          <w:iCs/>
          <w:sz w:val="26"/>
          <w:szCs w:val="26"/>
        </w:rPr>
        <w:t xml:space="preserve">Gói thầu: Thi công hệ cừ, văng chống, kết cấu phần ngầm và chống thấm phần ngầm khối NOXH CT1.2, CT2 – Dự án NOXH Yên Sở</w:t>
      </w:r>
    </w:p>
    <w:p>
      <w:pPr>
        <w:spacing w:after="200" w:before="0" w:line="300"/>
        <w:jc w:val="center"/>
      </w:pPr>
      <w:r>
        <w:rPr>
          <w:rFonts w:ascii="Times New Roman" w:cs="Times New Roman" w:eastAsia="Times New Roman" w:hAnsi="Times New Roman"/>
          <w:i/>
          <w:iCs/>
          <w:sz w:val="26"/>
          <w:szCs w:val="26"/>
        </w:rPr>
        <w:t xml:space="preserve">Hà Nội, ngày </w:t>
      </w:r>
      <w:r>
        <w:rPr>
          <w:rFonts w:ascii="Times New Roman" w:cs="Times New Roman" w:eastAsia="Times New Roman" w:hAnsi="Times New Roman"/>
          <w:i/>
          <w:iCs/>
          <w:sz w:val="26"/>
          <w:szCs w:val="26"/>
          <w:highlight w:val="yellow"/>
        </w:rPr>
        <w:t xml:space="preserve">……</w:t>
      </w:r>
      <w:r>
        <w:rPr>
          <w:rFonts w:ascii="Times New Roman" w:cs="Times New Roman" w:eastAsia="Times New Roman" w:hAnsi="Times New Roman"/>
          <w:i/>
          <w:iCs/>
          <w:sz w:val="26"/>
          <w:szCs w:val="26"/>
        </w:rPr>
        <w:t xml:space="preserve"> tháng 10 năm 2026 – Tài liệu nội bộ, dùng để đọc trước và chuẩn bị vòng thương thảo tiếp theo</w:t>
      </w:r>
    </w:p>
    <w:sdt>
      <w:sdtPr>
        <w:alias w:val="MỤC LỤC"/>
      </w:sdtPr>
      <w:sdtContent>
        <w:p>
          <w:r>
            <w:fldChar w:fldCharType="begin" w:dirty="true"/>
            <w:instrText xml:space="preserve">TOC \h \o "1-2"</w:instrText>
            <w:fldChar w:fldCharType="separate"/>
          </w:r>
        </w:p>
        <w:p>
          <w:r>
            <w:fldChar w:fldCharType="end"/>
          </w:r>
        </w:p>
      </w:sdtContent>
    </w:sdt>
    <w:p>
      <w:pPr>
        <w:pStyle w:val="Heading1"/>
        <w:keepNext/>
        <w:spacing w:after="120" w:before="300"/>
      </w:pPr>
      <w:r>
        <w:rPr>
          <w:rFonts w:ascii="Times New Roman" w:cs="Times New Roman" w:eastAsia="Times New Roman" w:hAnsi="Times New Roman"/>
          <w:b/>
          <w:bCs/>
          <w:color w:val="1F3864"/>
          <w:sz w:val="28"/>
          <w:szCs w:val="28"/>
        </w:rPr>
        <w:t xml:space="preserve">I. PHẠM VI VÀ CÁCH LÀM</w:t>
      </w:r>
    </w:p>
    <w:p>
      <w:pPr>
        <w:spacing w:after="100" w:before="0" w:line="300"/>
        <w:jc w:val="both"/>
      </w:pPr>
      <w:r>
        <w:rPr>
          <w:rFonts w:ascii="Times New Roman" w:cs="Times New Roman" w:eastAsia="Times New Roman" w:hAnsi="Times New Roman"/>
          <w:sz w:val="26"/>
          <w:szCs w:val="26"/>
        </w:rPr>
        <w:t xml:space="preserve">- Bản gốc: bản chỉnh sửa của Phục Hưng (PH), đã chấp nhận toàn bộ sửa đổi của PH. Mọi điều chỉnh của Bên A thể hiện bằng track changes, tác giả “VNCN E&amp;C – Thương thảo 17/10”, kèm 32 ý kiến (comment) giải thích. Nhờ vậy PH chỉ cần xem phần khác với bản của chính họ.</w:t>
      </w:r>
    </w:p>
    <w:p>
      <w:pPr>
        <w:spacing w:after="100" w:before="0" w:line="300"/>
        <w:jc w:val="both"/>
      </w:pPr>
      <w:r>
        <w:rPr>
          <w:rFonts w:ascii="Times New Roman" w:cs="Times New Roman" w:eastAsia="Times New Roman" w:hAnsi="Times New Roman"/>
          <w:sz w:val="26"/>
          <w:szCs w:val="26"/>
        </w:rPr>
        <w:t xml:space="preserve">- Áp dụng đầy đủ biên bản thương thảo 17/10/2026: điều kiện chung (chỉ bỏ “back to back”, giữ nguyên “Hợp đồng thầu chính” và toàn bộ nội dung liên quan; nguyên tắc khắc phục – bồi thường thống nhất, gom điều khoản về Điều 15–18, giữ nguyên các nội dung liên quan TVGS) và 34 điều kiện riêng.</w:t>
      </w:r>
    </w:p>
    <w:p>
      <w:pPr>
        <w:spacing w:after="100" w:before="0" w:line="300"/>
        <w:jc w:val="both"/>
      </w:pPr>
      <w:r>
        <w:rPr>
          <w:rFonts w:ascii="Times New Roman" w:cs="Times New Roman" w:eastAsia="Times New Roman" w:hAnsi="Times New Roman"/>
          <w:sz w:val="26"/>
          <w:szCs w:val="26"/>
        </w:rPr>
        <w:t xml:space="preserve">- Nội dung biên bản không nhắc tới: tạm thời theo bản PH (đúng chỉ đạo). Riêng các lỗi kỹ thuật (câu cụt, dẫn chiếu sai, đánh số, mâu thuẫn nội bộ) được sửa để văn bản dùng được, không làm thay đổi thỏa thuận.</w:t>
      </w:r>
    </w:p>
    <w:p>
      <w:pPr>
        <w:spacing w:after="100" w:before="0" w:line="300"/>
        <w:jc w:val="both"/>
      </w:pPr>
      <w:r>
        <w:rPr>
          <w:rFonts w:ascii="Times New Roman" w:cs="Times New Roman" w:eastAsia="Times New Roman" w:hAnsi="Times New Roman"/>
          <w:sz w:val="26"/>
          <w:szCs w:val="26"/>
        </w:rPr>
        <w:t xml:space="preserve">- Kết quả: 100 đoạn sửa, 107 đoạn xóa (phần lớn là chuyển vị trí), 31 đoạn chèn, 32 ý kiến. Kèm bản sạch đã chấp nhận toàn bộ thay đổi để đọc.</w:t>
      </w:r>
    </w:p>
    <w:p>
      <w:pPr>
        <w:pStyle w:val="Heading1"/>
        <w:keepNext/>
        <w:spacing w:after="120" w:before="300"/>
      </w:pPr>
      <w:r>
        <w:rPr>
          <w:rFonts w:ascii="Times New Roman" w:cs="Times New Roman" w:eastAsia="Times New Roman" w:hAnsi="Times New Roman"/>
          <w:b/>
          <w:bCs/>
          <w:color w:val="1F3864"/>
          <w:sz w:val="28"/>
          <w:szCs w:val="28"/>
        </w:rPr>
        <w:t xml:space="preserve">II. CẤU TRÚC HỢP ĐỒNG SAU KHI GOM ĐIỀU KHOẢN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1300"/>
        <w:gridCol w:w="3300"/>
        <w:gridCol w:w="5000"/>
      </w:tblGrid>
      <w:tr>
        <w:trPr>
          <w:tblHeader/>
        </w:trPr>
        <w:tc>
          <w:tcPr>
            <w:tcW w:type="dxa" w:w="1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Điều</w:t>
            </w:r>
          </w:p>
        </w:tc>
        <w:tc>
          <w:tcPr>
            <w:tcW w:type="dxa" w:w="33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Nội dung</w:t>
            </w:r>
          </w:p>
        </w:tc>
        <w:tc>
          <w:tcPr>
            <w:tcW w:type="dxa" w:w="5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Thay đổi so với bản PH</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Giải thích từ ngữ</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nguyên 1.13 Hợp đồng thầu chính; bỏ 1.20 Phần ngầm (đồng ý PH), đánh lại số 1.20–1.25; 1.24 Công trường theo biên bản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2–12</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Như bản PH</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Sửa theo biên bản; bỏ các đoạn trùng (5.7–5.9, 7.2e-f, 10.5, 10.7, 10.10, 11.1, 11.2.h…)</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13</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Vật tư, vật liệu do Bên B cung cấp</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14 cũ đánh lại số</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14</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Quyết toán và thanh lý hợp đồng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19 cũ chuyển lên; gộp danh mục hồ sơ quyết toán đang lặp ở 10.3.2</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15</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Sửa đổi, điều chỉnh HĐ và công việc phát sinh</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Gom: điều chỉnh tiến độ, gia hạn (7.2 cũ), khối lượng, điều chỉnh giá trị (9.4 cũ), phát sinh (Điều 13 cũ)</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16</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Bất khả kháng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16.5 chỉ dẫn chiếu gia hạn về 15.1c</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17</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Tạm dừng và chấm dứt</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Gom chi phí dừng chờ (4.2, 11.2.h, 9.4 cũ) vào 17.1c; căn cứ chấm dứt sửa theo biên bản</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18</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Phạt, bồi thường và xử lý vi phạm</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Nguyên tắc khắc phục – bồi thường chung; 18.3 gồm toàn bộ hậu quả chậm tiến độ (7.3 cũ); 18.4 Bên A thực hiện thay (gom 6 chỗ); 18.5 (18.6 cũ)</w:t>
            </w:r>
          </w:p>
        </w:tc>
      </w:tr>
      <w:tr>
        <w:trPr>
          <w:cantSplit/>
        </w:trPr>
        <w:tc>
          <w:tcPr>
            <w:tcW w:type="dxa" w:w="1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19–21</w:t>
            </w:r>
          </w:p>
        </w:tc>
        <w:tc>
          <w:tcPr>
            <w:tcW w:type="dxa" w:w="33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Bảo lãnh; Tranh chấp; Điều khoản chung</w:t>
            </w:r>
          </w:p>
        </w:tc>
        <w:tc>
          <w:tcPr>
            <w:tcW w:type="dxa" w:w="5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20–22 cũ đánh lại số</w:t>
            </w:r>
          </w:p>
        </w:tc>
      </w:tr>
    </w:tbl>
    <w:p>
      <w:pPr>
        <w:spacing w:after="100" w:before="0" w:line="300"/>
        <w:jc w:val="both"/>
      </w:pPr>
      <w:r>
        <w:rPr>
          <w:rFonts w:ascii="Times New Roman" w:cs="Times New Roman" w:eastAsia="Times New Roman" w:hAnsi="Times New Roman"/>
          <w:i/>
          <w:iCs/>
          <w:sz w:val="22"/>
          <w:szCs w:val="22"/>
        </w:rPr>
        <w:t xml:space="preserve">Lý do chuyển quyết toán lên Điều 14: biên bản yêu cầu gom nhóm điều chỉnh, tạm dừng, bất khả kháng, phạt vào đúng Điều 15–18. Khi chuyển Điều 13 (phát sinh) vào Điều 15, cần lấp chỗ trống Điều 14 để giữ nguyên số 15–18 như biên bản; quyết toán đứng ngay sau nhóm thanh toán, vật tư là hợp lý về logic.</w:t>
      </w:r>
    </w:p>
    <w:p>
      <w:pPr>
        <w:pStyle w:val="Heading1"/>
        <w:keepNext/>
        <w:spacing w:after="120" w:before="300"/>
      </w:pPr>
      <w:r>
        <w:rPr>
          <w:rFonts w:ascii="Times New Roman" w:cs="Times New Roman" w:eastAsia="Times New Roman" w:hAnsi="Times New Roman"/>
          <w:b/>
          <w:bCs/>
          <w:color w:val="1F3864"/>
          <w:sz w:val="28"/>
          <w:szCs w:val="28"/>
        </w:rPr>
        <w:t xml:space="preserve">III. ĐỐI CHIẾU TỪNG ĐIỂM THƯƠNG THẢO VỚI CÁCH THỂ HIỆN TRONG HỢP ĐỒNG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TT</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Biên bản 17/10</w:t>
            </w:r>
          </w:p>
        </w:tc>
        <w:tc>
          <w:tcPr>
            <w:tcW w:type="dxa" w:w="6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Thể hiện trong hợp đồng</w:t>
            </w:r>
          </w:p>
        </w:tc>
      </w:tr>
      <w:tr>
        <w:tc>
          <w:tcPr>
            <w:tcW w:type="dxa" w:w="9600"/>
            <w:gridSpan w:val="3"/>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20"/>
                <w:szCs w:val="20"/>
              </w:rPr>
              <w:t xml:space="preserve">ĐIỀU KIỆN CHUNG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Chỉ bỏ “back to back”; giữ nguyên “Hợp đồng thầu chính”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Bản PH không còn câu chữ “back to back” nên không phát sinh sửa đổi; giữ nguyên căn cứ Hợp đồng tổng thầu, định nghĩa 1.13 và mọi dẫn chiếu Hợp đồng thầu chính (1.21, 1.25, 8.2, 10.3.2b, 12.2.5a, 17.2a(iv)), các nội dung liên quan TVGS</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Khắc phục 100% do Bên B; bồi thường Bên B chịu trách nhiệm, Bên A hỗ trợ, phối hợp</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Nguyên tắc chung tại đoạn đầu Điều 18; 4.4, 12.2.1f, 12.2.7, 18.4 dẫn chiếu; bỏ 5.7–5.9 trùng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Gom phát sinh, điều chỉnh, tạm dừng, chấm dứt, BKK, phạt vào Điều 15–18</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Mục II</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Phần không nhắc tới: đồng ý PH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bản PH; các điểm rủi ro liệt kê tại Mục V</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nguyên nội dung liên quan TVGS</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Khôi phục xác nhận khối lượng của TVGS (10.3.2a), TVGS nghiệm thu (15.2); bỏ ghi chú “không phụ thuộc TVGS” của PH</w:t>
            </w:r>
          </w:p>
        </w:tc>
      </w:tr>
      <w:tr>
        <w:tc>
          <w:tcPr>
            <w:tcW w:type="dxa" w:w="9600"/>
            <w:gridSpan w:val="3"/>
            <w:tcBorders>
              <w:top w:val="single" w:color="808080" w:sz="4"/>
              <w:left w:val="single" w:color="808080" w:sz="4"/>
              <w:bottom w:val="single" w:color="808080" w:sz="4"/>
              <w:right w:val="single" w:color="808080" w:sz="4"/>
            </w:tcBorders>
            <w:shd w:fill="EDEDED" w:color="auto" w:val="clear"/>
          </w:tcPr>
          <w:p>
            <w:pPr>
              <w:spacing w:after="20" w:before="0" w:line="300"/>
              <w:jc w:val="both"/>
            </w:pPr>
            <w:r>
              <w:rPr>
                <w:rFonts w:ascii="Times New Roman" w:cs="Times New Roman" w:eastAsia="Times New Roman" w:hAnsi="Times New Roman"/>
                <w:b/>
                <w:bCs/>
                <w:sz w:val="20"/>
                <w:szCs w:val="20"/>
              </w:rPr>
              <w:t xml:space="preserve">ĐIỀU KIỆN RIÊNG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1.20 bỏ định nghĩa Phần ngầm</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Xóa định nghĩa; giữ nguyên cách viết ở các điều khác</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1.25 Công trường</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1.23 (số mới) theo đúng câu chữ biên bản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2 đồng ý PH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bản PH, chỉ sửa chính tả</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9</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3.4 giữ EC</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Khôi phục 3.4 b, c</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3.5 sửa câu đầu (“bptk và boq”), còn lại giữ EC</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Khôi phục 3.5, phí quản lý 15%; câu đầu: “theo đúng biện pháp thi công, hồ sơ thiết kế và BOQ” – </w:t>
            </w:r>
            <w:r>
              <w:rPr>
                <w:rFonts w:ascii="Times New Roman" w:cs="Times New Roman" w:eastAsia="Times New Roman" w:hAnsi="Times New Roman"/>
                <w:b w:val="false"/>
                <w:bCs w:val="false"/>
                <w:sz w:val="20"/>
                <w:szCs w:val="20"/>
                <w:highlight w:val="yellow"/>
              </w:rPr>
              <w:t xml:space="preserve">cần xác nhận “bptk”</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4.4 theo PH, sửa câu cuối</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Theo câu chữ biên bản + dẫn chiếu nguyên tắc Điều 18</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6.1(iii) bỏ “chất lượng trong vòng 30 ngày”</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6.2a(iii): bàn giao đầy đủ hồ sơ hoàn công, không còn mốc 30 ngày</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6.4 đồng ý PH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(ván khuôn, giàn giáo là vật tư luân chuyển)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7.1 tiến độ để trống</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w:t>
            </w:r>
            <w:r>
              <w:rPr>
                <w:rFonts w:ascii="Times New Roman" w:cs="Times New Roman" w:eastAsia="Times New Roman" w:hAnsi="Times New Roman"/>
                <w:b w:val="false"/>
                <w:bCs w:val="false"/>
                <w:sz w:val="20"/>
                <w:szCs w:val="20"/>
                <w:highlight w:val="yellow"/>
              </w:rPr>
              <w:t xml:space="preserve">……</w:t>
            </w:r>
            <w:r>
              <w:rPr>
                <w:rFonts w:ascii="Times New Roman" w:cs="Times New Roman" w:eastAsia="Times New Roman" w:hAnsi="Times New Roman"/>
                <w:b w:val="false"/>
                <w:bCs w:val="false"/>
                <w:sz w:val="20"/>
                <w:szCs w:val="20"/>
              </w:rPr>
              <w:t xml:space="preserve"> ngày kể từ ngày bắt đầu (chưa thống nhất)”</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7.2 tạm ứng chậm tối thiểu 10 ngày làm việc</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kiện “nhận đủ tạm ứng” chỉ làm lùi ngày bắt đầu khi Bên A chậm từ 10 ngày làm việc</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7.2b bỏ câu thi công theo đợt; 7.2d bỏ “bảo đảm HĐ thầu chính”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Đúng như biên bản (PH đã bỏ, chỉ sửa dấu câu)</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17</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Gia hạn giữ nguyên, đưa về đúng điều</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15.1c, giữ 8 căn cứ của PH; bỏ “chậm tạm ứng” khỏi căn cứ gia hạn vì đã xử lý ở 7.2</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18</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7.3c câu chữ mới</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18.3c đúng câu chữ biên bản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19</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8.1 giữ nguyên; 8.2 bảo hành 36 tháng</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8.2: 36 tháng từ khi CĐT nghiệm thu hạng mục, không ngắn hơn thời hạn Bên A cam kết với CĐT (giữ nguyên dẫn chiếu Hợp đồng thầu chính)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9.4 rút gọn theo PH, đưa vào mục hợp lý</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15.3 Điều chỉnh giá trị HĐ; theo ý kiến Bên A ngày 19/10: bỏ trượt giá thép, bê tông – đơn giá cố định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10.3.1 tạm ứng 25%</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25% = </w:t>
            </w:r>
            <w:r>
              <w:rPr>
                <w:rFonts w:ascii="Times New Roman" w:cs="Times New Roman" w:eastAsia="Times New Roman" w:hAnsi="Times New Roman"/>
                <w:b w:val="false"/>
                <w:bCs w:val="false"/>
                <w:sz w:val="20"/>
                <w:szCs w:val="20"/>
                <w:highlight w:val="yellow"/>
              </w:rPr>
              <w:t xml:space="preserve">50.077.477.959</w:t>
            </w:r>
            <w:r>
              <w:rPr>
                <w:rFonts w:ascii="Times New Roman" w:cs="Times New Roman" w:eastAsia="Times New Roman" w:hAnsi="Times New Roman"/>
                <w:b w:val="false"/>
                <w:bCs w:val="false"/>
                <w:sz w:val="20"/>
                <w:szCs w:val="20"/>
              </w:rPr>
              <w:t xml:space="preserve"> đồng; các điều kiện khác theo PH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10.3.2: bỏ 2 tỷ, bỏ quan trắc, công tác trọn gói giữ EC, thời hạn xác nhận bảo vệ EC, không thanh toán vật tư</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Đúng như biên bản; thời hạn xác nhận 15 ngày (khung PH) nhưng hồ sơ phải đầy đủ, đúng quy định, thời gian sửa hồ sơ không tính, bỏ “quá hạn coi như phê duyệt”</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10.4 bỏ lãi; thanh toán 20 ngày</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Xóa 10.4 lãi; 10.3.2e: 20 ngày kể từ khi Bên A phê duyệt hồ sơ thanh toán/quyết toán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10.7 đồng ý bỏ</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Xóa</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11.2.c bàn giao toàn bộ; 11.2.f giữ EC; 11.2.h đưa vào điều liên quan</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“bàn giao toàn bộ mặt bằng”; “hỗ trợ” xin giấy phép; dừng chờ chuyển 17.1c</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12.1.g không đồng ý PH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Xóa quyền “chưa thực hiện phát sinh khi chưa ký phụ lục” tại 12.1</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27</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12.2.1, 12.2.10 đồng ý PH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bản PH; bỏ máy phát dự phòng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28</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17.1(iii) 45 ngày; 17.1c 28 ngày</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Đúng như biên bản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29</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17.1e hồ sơ thanh toán đủ, đúng quy định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17.1a(v): tạm dừng khi Bên A không cho ý kiến hồ sơ quá 20 ngày với điều kiện hồ sơ đầy đủ, đúng quy định – </w:t>
            </w:r>
            <w:r>
              <w:rPr>
                <w:rFonts w:ascii="Times New Roman" w:cs="Times New Roman" w:eastAsia="Times New Roman" w:hAnsi="Times New Roman"/>
                <w:b w:val="false"/>
                <w:bCs w:val="false"/>
                <w:sz w:val="20"/>
                <w:szCs w:val="20"/>
                <w:highlight w:val="yellow"/>
              </w:rPr>
              <w:t xml:space="preserve">cần xác nhận cách hiểu</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30</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17.2(iv) xác nhận hiện trạng theo quy định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Lập biên bản xác nhận hiện trạng, khối lượng theo pháp luật về hợp đồng xây dựng</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17.2b bỏ “biên bản họp lần thứ 3”; 17.2b(x) sửa theo quy định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Bỏ căn cứ “nhắc nhở lần thứ ba”; (x) sự cố công trình xác định theo pháp luật về sự cố công trình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17.c sửa theo quy định nhà nước</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Căn cứ Bên B chấm dứt: Bên A phá sản/giải thể; không thanh toán quá </w:t>
            </w:r>
            <w:r>
              <w:rPr>
                <w:rFonts w:ascii="Times New Roman" w:cs="Times New Roman" w:eastAsia="Times New Roman" w:hAnsi="Times New Roman"/>
                <w:b w:val="false"/>
                <w:bCs w:val="false"/>
                <w:sz w:val="20"/>
                <w:szCs w:val="20"/>
                <w:highlight w:val="yellow"/>
              </w:rPr>
              <w:t xml:space="preserve">60</w:t>
            </w:r>
            <w:r>
              <w:rPr>
                <w:rFonts w:ascii="Times New Roman" w:cs="Times New Roman" w:eastAsia="Times New Roman" w:hAnsi="Times New Roman"/>
                <w:b w:val="false"/>
                <w:bCs w:val="false"/>
                <w:sz w:val="20"/>
                <w:szCs w:val="20"/>
              </w:rPr>
              <w:t xml:space="preserve"> ngày; công việc bị dừng liên tục quá </w:t>
            </w:r>
            <w:r>
              <w:rPr>
                <w:rFonts w:ascii="Times New Roman" w:cs="Times New Roman" w:eastAsia="Times New Roman" w:hAnsi="Times New Roman"/>
                <w:b w:val="false"/>
                <w:bCs w:val="false"/>
                <w:sz w:val="20"/>
                <w:szCs w:val="20"/>
                <w:highlight w:val="yellow"/>
              </w:rPr>
              <w:t xml:space="preserve">45</w:t>
            </w:r>
            <w:r>
              <w:rPr>
                <w:rFonts w:ascii="Times New Roman" w:cs="Times New Roman" w:eastAsia="Times New Roman" w:hAnsi="Times New Roman"/>
                <w:b w:val="false"/>
                <w:bCs w:val="false"/>
                <w:sz w:val="20"/>
                <w:szCs w:val="20"/>
              </w:rPr>
              <w:t xml:space="preserve"> ngày do lỗi Bên A</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18: bỏ back to back, tổng phạt ≤ 10%</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Đúng như biên bản</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18.3 phạt 0,1%/ngày</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0,1% giá trị HĐ/ngày, trần riêng 8% trong tổng 10%</w:t>
            </w:r>
          </w:p>
        </w:tc>
      </w:tr>
    </w:tbl>
    <w:p>
      <w:pPr>
        <w:pStyle w:val="Heading1"/>
        <w:keepNext/>
        <w:spacing w:after="120" w:before="300"/>
      </w:pPr>
      <w:r>
        <w:rPr>
          <w:rFonts w:ascii="Times New Roman" w:cs="Times New Roman" w:eastAsia="Times New Roman" w:hAnsi="Times New Roman"/>
          <w:b/>
          <w:bCs/>
          <w:color w:val="1F3864"/>
          <w:sz w:val="28"/>
          <w:szCs w:val="28"/>
        </w:rPr>
        <w:t xml:space="preserve">IV. CÁC ĐIỂM BAN HĐ PHẢI DIỄN GIẢI – CẦN ANH XÁC NHẬN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500"/>
        <w:gridCol w:w="2600"/>
        <w:gridCol w:w="6500"/>
      </w:tblGrid>
      <w:tr>
        <w:trPr>
          <w:tblHeader/>
        </w:trPr>
        <w:tc>
          <w:tcPr>
            <w:tcW w:type="dxa" w:w="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TT</w:t>
            </w:r>
          </w:p>
        </w:tc>
        <w:tc>
          <w:tcPr>
            <w:tcW w:type="dxa" w:w="2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Nội dung</w:t>
            </w:r>
          </w:p>
        </w:tc>
        <w:tc>
          <w:tcPr>
            <w:tcW w:type="dxa" w:w="6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Cách đã thể hiện và lý do</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3.5 “bptk”</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Hiểu là “biện pháp thi công, hồ sơ thiết kế”. Nếu “bptk” là “bản vẽ thiết kế” thì chỉ cần đổi cụm từ.</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17.1e</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Hiểu là chấp nhận ý PH (BCH duyệt hồ sơ quá 20 ngày) làm căn cứ tạm dừng, kèm điều kiện hồ sơ đầy đủ, đúng quy định. Nếu ý biên bản là “bỏ căn cứ này” thì xóa 17.1a(v).</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17.2b(x)</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Đánh số theo danh sách sau khi bỏ “lần thứ ba”, (x) là căn cứ sự cố hệ cừ, văng chống. Đồng thời căn cứ bảo lãnh (ix) cũng chuẩn hóa câu chữ.</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4</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Quyết toán</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Thanh toán quyết toán 20 ngày kể từ khi Bên A phê duyệt; giữ điều kiện Chủ đầu tư phê duyệt giá trị quyết toán phần việc tương ứng theo Hợp đồng thầu chính.</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5</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Tiền bảo hành</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Bản cũ lệch 05% và 03%; đã thống nhất 05% (8.2, 10.3.2, 19.3).</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6</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Dừng chờ (17.1c)</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 để 3 chỗ mâu thuẫn (4.2: Bên A trả toàn bộ do Nhà thầu khác; 11.2.h: loại trừ Nhà thầu khác; 9.4: tạm dừng ≥30 ngày được trả). Đã gộp theo hướng: Bên A trả dừng chờ do Nhà thầu khác của Bên A, không trả do CĐT, cơ quan nhà nước, bên thứ ba, BKK; điều kiện 14 ngày, biên bản 24 giờ.</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7</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17.2a(iv)</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nguyên căn cứ chấm dứt khi Hợp đồng thầu chính bị chấm dứt trước thời hạn – lá chắn quan trọng của Bên A, không nên nhượng bộ.</w:t>
            </w:r>
          </w:p>
        </w:tc>
      </w:tr>
      <w:tr>
        <w:trPr>
          <w:cantSplit/>
        </w:trPr>
        <w:tc>
          <w:tcPr>
            <w:tcW w:type="dxa" w:w="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8</w:t>
            </w:r>
          </w:p>
        </w:tc>
        <w:tc>
          <w:tcPr>
            <w:tcW w:type="dxa" w:w="2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Ngày bắt đầu (7.2)</w:t>
            </w:r>
          </w:p>
        </w:tc>
        <w:tc>
          <w:tcPr>
            <w:tcW w:type="dxa" w:w="6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5 điều kiện của PH (đồng ý PH), chỉ sửa điều kiện tạm ứng. Lưu ý điều kiện “bàn giao toàn bộ mặt bằng” – xem Mục V.</w:t>
            </w:r>
          </w:p>
        </w:tc>
      </w:tr>
    </w:tbl>
    <w:p>
      <w:pPr>
        <w:pStyle w:val="Heading1"/>
        <w:keepNext/>
        <w:spacing w:after="120" w:before="300"/>
      </w:pPr>
      <w:r>
        <w:rPr>
          <w:rFonts w:ascii="Times New Roman" w:cs="Times New Roman" w:eastAsia="Times New Roman" w:hAnsi="Times New Roman"/>
          <w:b/>
          <w:bCs/>
          <w:color w:val="1F3864"/>
          <w:sz w:val="28"/>
          <w:szCs w:val="28"/>
        </w:rPr>
        <w:t xml:space="preserve">V. RỦI RO CÒN LẠI ĐỐI VỚI BÊN A</w:t>
      </w:r>
    </w:p>
    <w:p>
      <w:pPr>
        <w:spacing w:after="100" w:before="0" w:line="300"/>
        <w:jc w:val="both"/>
      </w:pPr>
      <w:r>
        <w:rPr>
          <w:rFonts w:ascii="Times New Roman" w:cs="Times New Roman" w:eastAsia="Times New Roman" w:hAnsi="Times New Roman"/>
          <w:i/>
          <w:iCs/>
          <w:sz w:val="22"/>
          <w:szCs w:val="22"/>
        </w:rPr>
        <w:t xml:space="preserve">Các điểm dưới đây đang theo bản PH (do biên bản không nhắc tới hoặc đã đồng ý PH). Xếp theo mức độ rủi ro.</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400"/>
        <w:gridCol w:w="1700"/>
        <w:gridCol w:w="3600"/>
        <w:gridCol w:w="900"/>
        <w:gridCol w:w="3000"/>
      </w:tblGrid>
      <w:tr>
        <w:trPr>
          <w:tblHeader/>
        </w:trPr>
        <w:tc>
          <w:tcPr>
            <w:tcW w:type="dxa" w:w="4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TT</w:t>
            </w:r>
          </w:p>
        </w:tc>
        <w:tc>
          <w:tcPr>
            <w:tcW w:type="dxa" w:w="17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Điều</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Rủi ro</w:t>
            </w:r>
          </w:p>
        </w:tc>
        <w:tc>
          <w:tcPr>
            <w:tcW w:type="dxa" w:w="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Mức</w:t>
            </w:r>
          </w:p>
        </w:tc>
        <w:tc>
          <w:tcPr>
            <w:tcW w:type="dxa" w:w="30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Ghi chú</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19.4 Bảo lãnh thanh toán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Bên A phải mở bảo lãnh 15% giá trị HĐ (~32 tỷ đồng) trong 20 ngày, chiếm hạn mức tín dụng, chịu phí. Biên bản thương thảo trước đã không đồng ý. Câu chữ PH chép nhầm mẫu bảo lãnh của Bên B.</w:t>
            </w:r>
          </w:p>
        </w:tc>
        <w:tc>
          <w:tcPr>
            <w:tcW w:type="dxa" w:w="9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Biên bản 17/10 không nhắc tới – cần xác nhận đã chấp nhận hay bỏ sót</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15.4(ii) Đơn giá phát sinh</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Bên A không có ý kiến trong 07 ngày làm việc thì đơn giá coi như được chấp thuận (Điều 393 BLDS: có thỏa thuận thì im lặng là chấp nhận). Bỏ trần giá phát sinh.</w:t>
            </w:r>
          </w:p>
        </w:tc>
        <w:tc>
          <w:tcPr>
            <w:tcW w:type="dxa" w:w="9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K5</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9.1, 15.3 Điều chỉnh giá</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Đã xử lý (19/10): bỏ trượt giá thép, bê tông ±5%; hợp đồng đơn giá cố định, chỉ điều chỉnh khi pháp luật bắt buộc hoặc CĐT chấp thuận cho Bên A. Dự kiến PH phản đối vì đây là ý PH đưa vào.</w:t>
            </w:r>
          </w:p>
        </w:tc>
        <w:tc>
          <w:tcPr>
            <w:tcW w:type="dxa" w:w="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Trung bình</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K6</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15.1c Gia hạn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8 căn cứ, gồm “mưa bão” (không phân biệt bất thường), “chậm phê duyệt đơn giá”, “các trường hợp khác”; không có thời hạn thông báo, Bên B có thể đòi gia hạn hồi tố.</w:t>
            </w:r>
          </w:p>
        </w:tc>
        <w:tc>
          <w:tcPr>
            <w:tcW w:type="dxa" w:w="9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K1, K2</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7.2 Ngày bắt đầu</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Ngày muộn nhất của 5 điều kiện, trong đó “bàn giao toàn bộ mặt bằng” mâu thuẫn với việc bàn giao hố đào theo giai đoạn (4.1.2(iv), 11.2) → ngày bắt đầu có thể treo kéo dài; tiến độ chưa chốt.</w:t>
            </w:r>
          </w:p>
        </w:tc>
        <w:tc>
          <w:tcPr>
            <w:tcW w:type="dxa" w:w="900"/>
            <w:tcBorders>
              <w:top w:val="single" w:color="808080" w:sz="4"/>
              <w:left w:val="single" w:color="808080" w:sz="4"/>
              <w:bottom w:val="single" w:color="808080" w:sz="4"/>
              <w:right w:val="single" w:color="808080" w:sz="4"/>
            </w:tcBorders>
            <w:shd w:fill="F4B18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Cao</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K3</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6</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10.4 Lãi chậm thanh toán đã bỏ</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Hợp đồng không quy định lãi không có nghĩa là không phải trả lãi: theo Điều 357, 468 BLDS và Điều 306 Luật Thương mại, bên chậm trả vẫn phải trả lãi theo mức luật định (có thể cao hơn mức thỏa thuận).</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K7</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7</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17.1a(v), b</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Bên B được tạm dừng khi Bên A chậm cho ý kiến hồ sơ 20 ngày; khi Bên A chậm thanh toán, Bên B tạm dừng không cần báo trước 28 ngày.</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K8</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8</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17.2c, 17.1</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Chấm dứt khi công việc bị dừng quá 45 ngày do lỗi Bên A – ngắn hơn chuẩn FIDIC (84 ngày).</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K9</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9</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3.2 Giao thầu lại</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Chỉ cấm giao lại “toàn bộ”; Bên B được giao một phần (cừ, chống thấm…) không cần chấp thuận.</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K10</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10</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Điều 13 cũ (13.3)</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Bỏ danh mục “thay đổi không được coi là phát sinh” (biện pháp chống đỡ, trình tự phối hợp nhà thầu đất…) → các thay đổi biện pháp có thể bị đòi thành phát sinh.</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Xem kiến nghị K11</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11</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12.2.1 f, g, h; 12.2.10</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Bỏ trách nhiệm hạ mực nước ngầm, bùn khoan, máy phát dự phòng; 9.3b(2) vẫn ghi giá đã gồm chi phí hạ mực nước ngầm.</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Làm rõ trong Biểu 02 / Ma trận</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12</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10.3.1 Tạm ứng</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25%; bỏ điều kiện tập kết thiết bị và quyền thu hồi khi dùng sai mục đích.</w:t>
            </w:r>
          </w:p>
        </w:tc>
        <w:tc>
          <w:tcPr>
            <w:tcW w:type="dxa" w:w="900"/>
            <w:tcBorders>
              <w:top w:val="single" w:color="808080" w:sz="4"/>
              <w:left w:val="single" w:color="808080" w:sz="4"/>
              <w:bottom w:val="single" w:color="808080" w:sz="4"/>
              <w:right w:val="single" w:color="808080" w:sz="4"/>
            </w:tcBorders>
            <w:shd w:fill="FFE699"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TB</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Có bảo lãnh tạm ứng 100% – rủi ro được bảo đảm</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13</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4.1.1, 10.7, 18.5 cũ</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Bỏ quyền giảm phạm vi (11.1 vẫn còn quyền điều chỉnh phạm vi), bỏ “giá trị giữa kỳ là tạm thời”, bỏ phạt chậm nộp hồ sơ.</w:t>
            </w:r>
          </w:p>
        </w:tc>
        <w:tc>
          <w:tcPr>
            <w:tcW w:type="dxa" w:w="90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Thấp</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Chấp nhận được</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14</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17.2b</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Bỏ điều khoản bao trùm (vi phạm khác làm tổn hại quyền lợi Bên A).</w:t>
            </w:r>
          </w:p>
        </w:tc>
        <w:tc>
          <w:tcPr>
            <w:tcW w:type="dxa" w:w="90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Thấp</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Thay bằng cơ chế “thông báo khắc phục” – K12</w:t>
            </w:r>
          </w:p>
        </w:tc>
      </w:tr>
      <w:tr>
        <w:trPr>
          <w:cantSplit/>
        </w:trPr>
        <w:tc>
          <w:tcPr>
            <w:tcW w:type="dxa" w:w="4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15</w:t>
            </w:r>
          </w:p>
        </w:tc>
        <w:tc>
          <w:tcPr>
            <w:tcW w:type="dxa" w:w="17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Tổng mức phạt 10%</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Cần đối chiếu Điều 86 Luật Xây dựng 135/2025 và Điều 301 Luật Thương mại (trần 8%) nếu dự án không dùng vốn nhà nước.</w:t>
            </w:r>
          </w:p>
        </w:tc>
        <w:tc>
          <w:tcPr>
            <w:tcW w:type="dxa" w:w="900"/>
            <w:tcBorders>
              <w:top w:val="single" w:color="808080" w:sz="4"/>
              <w:left w:val="single" w:color="808080" w:sz="4"/>
              <w:bottom w:val="single" w:color="808080" w:sz="4"/>
              <w:right w:val="single" w:color="808080" w:sz="4"/>
            </w:tcBorders>
            <w:shd w:fill="C6E0B4"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val="false"/>
                <w:bCs w:val="false"/>
                <w:sz w:val="20"/>
                <w:szCs w:val="20"/>
              </w:rPr>
              <w:t xml:space="preserve">Thấp</w:t>
            </w:r>
          </w:p>
        </w:tc>
        <w:tc>
          <w:tcPr>
            <w:tcW w:type="dxa" w:w="30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Pháp chế xác nhận; quyền bồi thường thiệt hại thực tế không bị giới hạn bởi trần phạt</w:t>
            </w:r>
          </w:p>
        </w:tc>
      </w:tr>
    </w:tbl>
    <w:p>
      <w:pPr>
        <w:pStyle w:val="Heading1"/>
        <w:keepNext/>
        <w:spacing w:after="120" w:before="300"/>
      </w:pPr>
      <w:r>
        <w:rPr>
          <w:rFonts w:ascii="Times New Roman" w:cs="Times New Roman" w:eastAsia="Times New Roman" w:hAnsi="Times New Roman"/>
          <w:b/>
          <w:bCs/>
          <w:color w:val="1F3864"/>
          <w:sz w:val="28"/>
          <w:szCs w:val="28"/>
        </w:rPr>
        <w:t xml:space="preserve">VI. KIẾN NGHỊ ĐIỀU KHOẢN THEO FIDIC VÀ PHÁP LUẬT VIỆT NAM CÓ LỢI CHO BÊN A</w:t>
      </w:r>
    </w:p>
    <w:p>
      <w:pPr>
        <w:spacing w:after="100" w:before="0" w:line="300"/>
        <w:jc w:val="both"/>
      </w:pPr>
      <w:r>
        <w:rPr>
          <w:rFonts w:ascii="Times New Roman" w:cs="Times New Roman" w:eastAsia="Times New Roman" w:hAnsi="Times New Roman"/>
          <w:i/>
          <w:iCs/>
          <w:sz w:val="22"/>
          <w:szCs w:val="22"/>
        </w:rPr>
        <w:t xml:space="preserve">Nguyên tắc: các đề xuất dưới đây đều có căn cứ là chuẩn mực quốc tế (FIDIC – Điều kiện hợp đồng xây dựng, bản 1999 và 2017) hoặc quy định pháp luật Việt Nam, nên Bên A có lý lẽ khách quan khi đàm phán, PH khó bác bỏ hơn so với yêu cầu đơn phương. Số điều khoản FIDIC dẫn theo bản 1999 (bản 2017 ghi trong ngoặc khi khác). Các dẫn chiếu Nghị định 207/2026/NĐ-CP, 210/2026/NĐ-CP và Luật Xây dựng 135/2025/QH15 cần pháp chế đối chiếu nguyên văn trước khi đưa vào hợp đồng.</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600"/>
        <w:gridCol w:w="1900"/>
        <w:gridCol w:w="3500"/>
        <w:gridCol w:w="3600"/>
      </w:tblGrid>
      <w:tr>
        <w:trPr>
          <w:tblHeader/>
        </w:trPr>
        <w:tc>
          <w:tcPr>
            <w:tcW w:type="dxa" w:w="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Mã</w:t>
            </w:r>
          </w:p>
        </w:tc>
        <w:tc>
          <w:tcPr>
            <w:tcW w:type="dxa" w:w="19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Nội dung</w:t>
            </w:r>
          </w:p>
        </w:tc>
        <w:tc>
          <w:tcPr>
            <w:tcW w:type="dxa" w:w="35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Căn cứ FIDIC / pháp luật Việt Nam</w:t>
            </w:r>
          </w:p>
        </w:tc>
        <w:tc>
          <w:tcPr>
            <w:tcW w:type="dxa" w:w="3600"/>
            <w:tcBorders>
              <w:top w:val="single" w:color="808080" w:sz="4"/>
              <w:left w:val="single" w:color="808080" w:sz="4"/>
              <w:bottom w:val="single" w:color="808080" w:sz="4"/>
              <w:right w:val="single" w:color="808080" w:sz="4"/>
            </w:tcBorders>
            <w:shd w:fill="D9E2F3" w:color="auto" w:val="clear"/>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Đề xuất câu chữ hoặc phương án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Thời hạn thông báo yêu cầu gia hạn, chi phí (time-bar)</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20.1 (2017: 20.2): nhà thầu phải thông báo trong 28 ngày kể từ khi biết sự kiện, quá hạn mất quyền gia hạn và thanh toán bổ sung. BLDS cho phép các bên tự thỏa thuận điều kiện thực hiện quyền.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Bổ sung vào 15.1c: “Bên B phải thông báo bằng văn bản trong vòng </w:t>
            </w:r>
            <w:r>
              <w:rPr>
                <w:rFonts w:ascii="Times New Roman" w:cs="Times New Roman" w:eastAsia="Times New Roman" w:hAnsi="Times New Roman"/>
                <w:b w:val="false"/>
                <w:bCs w:val="false"/>
                <w:sz w:val="20"/>
                <w:szCs w:val="20"/>
                <w:highlight w:val="yellow"/>
              </w:rPr>
              <w:t xml:space="preserve">14</w:t>
            </w:r>
            <w:r>
              <w:rPr>
                <w:rFonts w:ascii="Times New Roman" w:cs="Times New Roman" w:eastAsia="Times New Roman" w:hAnsi="Times New Roman"/>
                <w:b w:val="false"/>
                <w:bCs w:val="false"/>
                <w:sz w:val="20"/>
                <w:szCs w:val="20"/>
              </w:rPr>
              <w:t xml:space="preserve"> ngày kể từ ngày biết hoặc phải biết sự kiện, kèm tài liệu chứng minh ảnh hưởng đến tiến độ; quá thời hạn này Bên B mất quyền yêu cầu gia hạn và chi phí liên quan.”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Thu hẹp căn cứ gia hạn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8.4 (2017: 8.5): chỉ gia hạn khi chậm hoàn thành bị ảnh hưởng, và thời tiết chỉ khi “bất lợi bất thường” (exceptionally adverse climatic conditions).</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Sửa căn cứ (iii) “mưa bão” thành “điều kiện thời tiết bất lợi bất thường, có số liệu của cơ quan khí tượng”; bỏ (viii) “các trường hợp khác”; gia hạn tương ứng mức ảnh hưởng thực tế đến đường găng.</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Ngày khởi công và bàn giao mặt bằng theo giai đoạn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8.1: Ngày khởi công do bên giao thầu thông báo trước tối thiểu 7 ngày; FIDIC 2.1: quyền tiếp cận công trường theo thời hạn, có thể theo giai đoạn phù hợp tiến độ.</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Ngày bắt đầu = ngày Bên A thông báo khởi công, không muộn hơn </w:t>
            </w:r>
            <w:r>
              <w:rPr>
                <w:rFonts w:ascii="Times New Roman" w:cs="Times New Roman" w:eastAsia="Times New Roman" w:hAnsi="Times New Roman"/>
                <w:b w:val="false"/>
                <w:bCs w:val="false"/>
                <w:sz w:val="20"/>
                <w:szCs w:val="20"/>
                <w:highlight w:val="yellow"/>
              </w:rPr>
              <w:t xml:space="preserve">15</w:t>
            </w:r>
            <w:r>
              <w:rPr>
                <w:rFonts w:ascii="Times New Roman" w:cs="Times New Roman" w:eastAsia="Times New Roman" w:hAnsi="Times New Roman"/>
                <w:b w:val="false"/>
                <w:bCs w:val="false"/>
                <w:sz w:val="20"/>
                <w:szCs w:val="20"/>
              </w:rPr>
              <w:t xml:space="preserve"> ngày kể từ ngày ký; mặt bằng, hố đào bàn giao theo từng giai đoạn phù hợp tiến độ chi tiết. Nếu PH giữ 5 điều kiện: sửa “toàn bộ mặt bằng” thành “mặt bằng giai đoạn đầu theo tiến độ chi tiết”.</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Thay bảo lãnh thanh toán bằng thông tin bố trí tài chính</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2.4: bên giao thầu chỉ có nghĩa vụ cung cấp bằng chứng hợp lý về việc đã bố trí tài chính khi nhà thầu yêu cầu – không phải bảo lãnh ngân hàng.</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Thay 19.4 bằng: “Trong vòng </w:t>
            </w:r>
            <w:r>
              <w:rPr>
                <w:rFonts w:ascii="Times New Roman" w:cs="Times New Roman" w:eastAsia="Times New Roman" w:hAnsi="Times New Roman"/>
                <w:b w:val="false"/>
                <w:bCs w:val="false"/>
                <w:sz w:val="20"/>
                <w:szCs w:val="20"/>
                <w:highlight w:val="yellow"/>
              </w:rPr>
              <w:t xml:space="preserve">28</w:t>
            </w:r>
            <w:r>
              <w:rPr>
                <w:rFonts w:ascii="Times New Roman" w:cs="Times New Roman" w:eastAsia="Times New Roman" w:hAnsi="Times New Roman"/>
                <w:b w:val="false"/>
                <w:bCs w:val="false"/>
                <w:sz w:val="20"/>
                <w:szCs w:val="20"/>
              </w:rPr>
              <w:t xml:space="preserve"> ngày kể từ khi Bên B yêu cầu hợp lý, Bên A cung cấp thông tin về việc bố trí nguồn vốn thanh toán cho Hợp đồng.” Nếu PH bắt buộc bảo lãnh: giảm giá trị (≤ một kỳ thanh toán bình quân), chỉ phát hành sau khi Bên B nộp BL thực hiện và hoàn thành huy động, giảm dần theo giá trị đã thanh toán.</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Im lặng không phải là chấp thuận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2017 Điều 3.7: nếu không có ý kiến trong thời hạn, coi như đã từ chối (deemed rejection) – ngược với đề xuất của PH. Điều 393 BLDS: im lặng chỉ là chấp nhận khi có thỏa thuận.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15.4(ii): “Quá thời hạn mà Bên A chưa có ý kiến, Bên B có quyền đề nghị họp; đơn giá chỉ có hiệu lực khi được Bên A chấp thuận bằng văn bản.” Thời hạn xem xét nâng lên </w:t>
            </w:r>
            <w:r>
              <w:rPr>
                <w:rFonts w:ascii="Times New Roman" w:cs="Times New Roman" w:eastAsia="Times New Roman" w:hAnsi="Times New Roman"/>
                <w:b w:val="false"/>
                <w:bCs w:val="false"/>
                <w:sz w:val="20"/>
                <w:szCs w:val="20"/>
                <w:highlight w:val="yellow"/>
              </w:rPr>
              <w:t xml:space="preserve">14</w:t>
            </w:r>
            <w:r>
              <w:rPr>
                <w:rFonts w:ascii="Times New Roman" w:cs="Times New Roman" w:eastAsia="Times New Roman" w:hAnsi="Times New Roman"/>
                <w:b w:val="false"/>
                <w:bCs w:val="false"/>
                <w:sz w:val="20"/>
                <w:szCs w:val="20"/>
              </w:rPr>
              <w:t xml:space="preserve"> ngày làm việc. Khôi phục trần “không vượt đơn giá CĐT phê duyệt cho phần việc tương ứng”.</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Hình thức giá phải nhất quán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Pháp luật về hợp đồng xây dựng phân biệt hợp đồng đơn giá cố định (đơn giá không thay đổi trong suốt thời gian thực hiện) và đơn giá điều chỉnh. FIDIC 13.8 (2017: 13.7): điều chỉnh giá chỉ khi có công thức, chỉ số trong hồ sơ hợp đồng.</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Đã chọn phương án bỏ trượt giá, giữ đúng hình thức “đơn giá cố định”. Phương án lùi nếu PH không chấp nhận: đổi hình thức thành “đơn giá điều chỉnh” chỉ cho thép, bê tông với: ngưỡng ±</w:t>
            </w:r>
            <w:r>
              <w:rPr>
                <w:rFonts w:ascii="Times New Roman" w:cs="Times New Roman" w:eastAsia="Times New Roman" w:hAnsi="Times New Roman"/>
                <w:b w:val="false"/>
                <w:bCs w:val="false"/>
                <w:sz w:val="20"/>
                <w:szCs w:val="20"/>
                <w:highlight w:val="yellow"/>
              </w:rPr>
              <w:t xml:space="preserve">10</w:t>
            </w:r>
            <w:r>
              <w:rPr>
                <w:rFonts w:ascii="Times New Roman" w:cs="Times New Roman" w:eastAsia="Times New Roman" w:hAnsi="Times New Roman"/>
                <w:b w:val="false"/>
                <w:bCs w:val="false"/>
                <w:sz w:val="20"/>
                <w:szCs w:val="20"/>
              </w:rPr>
              <w:t xml:space="preserve">%, chỉ số giá do Sở Xây dựng Hà Nội công bố (không dùng báo giá do nhà thầu chọn), không áp dụng cho khối lượng thi công chậm do lỗi Bên B, không vượt mức CĐT điều chỉnh cho Bên A.</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K7</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Lãi chậm thanh toán chủ động thỏa thuận mức thấp</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Điều 357, 468 BLDS; Điều 306 Luật Thương mại: chậm trả tiền phải trả lãi theo mức luật định nếu hợp đồng không quy định. FIDIC 14.8: lãi chậm thanh toán.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Thay vì để trống, quy định: lãi suất tiền gửi kỳ hạn 01 tháng của ngân hàng do Bên A mở tài khoản; chỉ tính khi chậm quá </w:t>
            </w:r>
            <w:r>
              <w:rPr>
                <w:rFonts w:ascii="Times New Roman" w:cs="Times New Roman" w:eastAsia="Times New Roman" w:hAnsi="Times New Roman"/>
                <w:b w:val="false"/>
                <w:bCs w:val="false"/>
                <w:sz w:val="20"/>
                <w:szCs w:val="20"/>
                <w:highlight w:val="yellow"/>
              </w:rPr>
              <w:t xml:space="preserve">14</w:t>
            </w:r>
            <w:r>
              <w:rPr>
                <w:rFonts w:ascii="Times New Roman" w:cs="Times New Roman" w:eastAsia="Times New Roman" w:hAnsi="Times New Roman"/>
                <w:b w:val="false"/>
                <w:bCs w:val="false"/>
                <w:sz w:val="20"/>
                <w:szCs w:val="20"/>
              </w:rPr>
              <w:t xml:space="preserve"> ngày do lỗi Bên A, hồ sơ đầy đủ hợp lệ; không áp dụng khi CĐT chậm thanh toán phần tương ứng; không là căn cứ gia hạn. Mức này thường thấp hơn mức lãi luật định.</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K8</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Tạm dừng do chậm thanh toán/chậm xác nhận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16.1: nhà thầu chỉ được tạm dừng sau khi thông báo trước 21 ngày; thời hạn xác nhận thanh toán theo FIDIC 14.6 là 28 ngày kể từ khi nhận hồ sơ.</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17.1a(v): nâng 20 ngày lên </w:t>
            </w:r>
            <w:r>
              <w:rPr>
                <w:rFonts w:ascii="Times New Roman" w:cs="Times New Roman" w:eastAsia="Times New Roman" w:hAnsi="Times New Roman"/>
                <w:b w:val="false"/>
                <w:bCs w:val="false"/>
                <w:sz w:val="20"/>
                <w:szCs w:val="20"/>
                <w:highlight w:val="yellow"/>
              </w:rPr>
              <w:t xml:space="preserve">28</w:t>
            </w:r>
            <w:r>
              <w:rPr>
                <w:rFonts w:ascii="Times New Roman" w:cs="Times New Roman" w:eastAsia="Times New Roman" w:hAnsi="Times New Roman"/>
                <w:b w:val="false"/>
                <w:bCs w:val="false"/>
                <w:sz w:val="20"/>
                <w:szCs w:val="20"/>
              </w:rPr>
              <w:t xml:space="preserve"> ngày (đúng FIDIC); bỏ ngoại lệ “không cần báo trước khi Bên A chậm thanh toán” – mọi trường hợp tạm dừng của Bên B đều phải báo trước tối thiểu 21–28 ngày.</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K9</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Chấm dứt do tạm dừng kéo dài</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8.11 (2017: 8.12): chỉ được chấm dứt khi tạm dừng kéo dài quá 84 ngày; FIDIC 16.2: chấm dứt khi không được thanh toán quá 42 ngày sau hạn thanh toán.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17.2c: tạm dừng liên tục do lỗi Bên A nâng từ 45 lên </w:t>
            </w:r>
            <w:r>
              <w:rPr>
                <w:rFonts w:ascii="Times New Roman" w:cs="Times New Roman" w:eastAsia="Times New Roman" w:hAnsi="Times New Roman"/>
                <w:b w:val="false"/>
                <w:bCs w:val="false"/>
                <w:sz w:val="20"/>
                <w:szCs w:val="20"/>
                <w:highlight w:val="yellow"/>
              </w:rPr>
              <w:t xml:space="preserve">84</w:t>
            </w:r>
            <w:r>
              <w:rPr>
                <w:rFonts w:ascii="Times New Roman" w:cs="Times New Roman" w:eastAsia="Times New Roman" w:hAnsi="Times New Roman"/>
                <w:b w:val="false"/>
                <w:bCs w:val="false"/>
                <w:sz w:val="20"/>
                <w:szCs w:val="20"/>
              </w:rPr>
              <w:t xml:space="preserve"> ngày; giữ 60 ngày cho chậm thanh toán (đã tốt hơn FIDIC cho Bên A).</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K10</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Giao thầu lại phải được chấp thuận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4.4: nhà thầu không được giao lại một phần công việc khi chưa có chấp thuận, trừ nhà cung cấp vật tư. Pháp luật về hợp đồng xây dựng yêu cầu nhà thầu phụ ngoài danh sách đã chấp thuận phải được bên giao thầu chấp thuận.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3.2: “Bên B không được giao thầu lại toàn bộ hoặc một phần công việc khi chưa được Bên A chấp thuận bằng văn bản, trừ việc mua vật tư, thuê máy, khoán nhân công.”</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K11</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Rủi ro biện pháp thi công thuộc nhà thầu</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4.1: nhà thầu chịu trách nhiệm về sự phù hợp, an toàn của mọi biện pháp, công trình tạm; thay đổi biện pháp do nhà thầu tự chọn không phải là thay đổi (variation).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Bổ sung 1 câu vào 15.4: “Thay đổi biện pháp thi công, trình tự phối hợp do Bên B đề xuất hoặc để khắc phục lỗi của Bên B không được coi là phát sinh.”</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K12</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Cơ chế thông báo khắc phục thay căn cứ “lần thứ ba”</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15.1, 15.2: nếu nhà thầu không khắc phục vi phạm trong thời hạn hợp lý ghi trong “thông báo khắc phục”, bên giao thầu có quyền chấm dứt.</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Bổ sung căn cứ 17.2b: “Bên B không khắc phục vi phạm nghĩa vụ Hợp đồng trong thời hạn hợp lý nêu tại thông báo khắc phục bằng văn bản của Bên A.” – thay thế điều khoản bao trùm đã bị bỏ.</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K13</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Chấm dứt vì sự thuận tiện của Bên A</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15.5: bên giao thầu được chấm dứt hợp đồng vào bất kỳ lúc nào, thanh toán phần đã thực hiện và chi phí giải thể (không bồi thường lợi nhuận dự kiến).</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Bổ sung vào 17.2: quyền chấm dứt khi CĐT dừng, thay đổi dự án hoặc theo nhu cầu của Bên A, báo trước </w:t>
            </w:r>
            <w:r>
              <w:rPr>
                <w:rFonts w:ascii="Times New Roman" w:cs="Times New Roman" w:eastAsia="Times New Roman" w:hAnsi="Times New Roman"/>
                <w:b w:val="false"/>
                <w:bCs w:val="false"/>
                <w:sz w:val="20"/>
                <w:szCs w:val="20"/>
                <w:highlight w:val="yellow"/>
              </w:rPr>
              <w:t xml:space="preserve">28</w:t>
            </w:r>
            <w:r>
              <w:rPr>
                <w:rFonts w:ascii="Times New Roman" w:cs="Times New Roman" w:eastAsia="Times New Roman" w:hAnsi="Times New Roman"/>
                <w:b w:val="false"/>
                <w:bCs w:val="false"/>
                <w:sz w:val="20"/>
                <w:szCs w:val="20"/>
              </w:rPr>
              <w:t xml:space="preserve"> ngày, thanh toán theo 18.5b. Bảo vệ Bên A trước rủi ro từ CĐT khi đã bỏ back to back.</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K14</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Phạt và bồi thường</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8.7 (2017: 8.8): bồi thường chậm tiến độ theo ngày, có trần, không loại trừ quyền chấm dứt. Pháp luật Việt Nam: phạt có trần (Luật Xây dựng; Điều 301 Luật Thương mại 8% nếu áp dụng), bồi thường thiệt hại thực tế không bị giới hạn bởi trần phạt (Điều 302, 307 Luật Thương mại).</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Giữ câu “phạt không loại trừ bồi thường” (đã có). Pháp chế xác nhận trần 10% phù hợp Điều 86 Luật Xây dựng 135/2025; nếu bị giới hạn 8% theo Luật Thương mại thì giữ nguyên quyền đòi bồi thường thiệt hại thực tế, kể cả khoản CĐT phạt Bên A.</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K15</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Thời hạn thanh toán</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14.7: thanh toán trong 56 ngày kể từ khi nhận hồ sơ thanh toán. Hợp đồng hiện tại: 15 ngày xác nhận + 20 ngày thanh toán = 35 ngày.</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Đã nhanh hơn chuẩn FIDIC – không nhượng thêm. Nếu PH đòi rút ngắn, dùng FIDIC làm căn cứ từ chối.</w:t>
            </w:r>
          </w:p>
        </w:tc>
      </w:tr>
      <w:tr>
        <w:trPr>
          <w:cantSplit/>
        </w:trPr>
        <w:tc>
          <w:tcPr>
            <w:tcW w:type="dxa" w:w="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center"/>
            </w:pPr>
            <w:r>
              <w:rPr>
                <w:rFonts w:ascii="Times New Roman" w:cs="Times New Roman" w:eastAsia="Times New Roman" w:hAnsi="Times New Roman"/>
                <w:b/>
                <w:bCs/>
                <w:sz w:val="20"/>
                <w:szCs w:val="20"/>
              </w:rPr>
              <w:t xml:space="preserve">K16</w:t>
            </w:r>
          </w:p>
        </w:tc>
        <w:tc>
          <w:tcPr>
            <w:tcW w:type="dxa" w:w="19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bCs/>
                <w:sz w:val="20"/>
                <w:szCs w:val="20"/>
              </w:rPr>
              <w:t xml:space="preserve">Bảo hành</w:t>
            </w:r>
          </w:p>
        </w:tc>
        <w:tc>
          <w:tcPr>
            <w:tcW w:type="dxa" w:w="35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FIDIC 11: thời hạn thông báo sai sót thường 365 ngày; pháp luật Việt Nam quy định thời hạn bảo hành tối thiểu theo cấp công trình.</w:t>
            </w:r>
          </w:p>
        </w:tc>
        <w:tc>
          <w:tcPr>
            <w:tcW w:type="dxa" w:w="3600"/>
            <w:tcBorders>
              <w:top w:val="single" w:color="808080" w:sz="4"/>
              <w:left w:val="single" w:color="808080" w:sz="4"/>
              <w:bottom w:val="single" w:color="808080" w:sz="4"/>
              <w:right w:val="single" w:color="808080" w:sz="4"/>
            </w:tcBorders>
            <w:tcMar>
              <w:top w:type="dxa" w:w="50"/>
              <w:left w:type="dxa" w:w="80"/>
              <w:bottom w:type="dxa" w:w="50"/>
              <w:right w:type="dxa" w:w="80"/>
            </w:tcMar>
            <w:vAlign w:val="top"/>
          </w:tcPr>
          <w:p>
            <w:pPr>
              <w:spacing w:after="30" w:before="0" w:line="245"/>
              <w:jc w:val="left"/>
            </w:pPr>
            <w:r>
              <w:rPr>
                <w:rFonts w:ascii="Times New Roman" w:cs="Times New Roman" w:eastAsia="Times New Roman" w:hAnsi="Times New Roman"/>
                <w:b w:val="false"/>
                <w:bCs w:val="false"/>
                <w:sz w:val="20"/>
                <w:szCs w:val="20"/>
              </w:rPr>
              <w:t xml:space="preserve">36 tháng đã có lợi cho Bên A (vượt mức tối thiểu); giữ. Bổ sung bắt đầu sửa chữa trong </w:t>
            </w:r>
            <w:r>
              <w:rPr>
                <w:rFonts w:ascii="Times New Roman" w:cs="Times New Roman" w:eastAsia="Times New Roman" w:hAnsi="Times New Roman"/>
                <w:b w:val="false"/>
                <w:bCs w:val="false"/>
                <w:sz w:val="20"/>
                <w:szCs w:val="20"/>
                <w:highlight w:val="yellow"/>
              </w:rPr>
              <w:t xml:space="preserve">03</w:t>
            </w:r>
            <w:r>
              <w:rPr>
                <w:rFonts w:ascii="Times New Roman" w:cs="Times New Roman" w:eastAsia="Times New Roman" w:hAnsi="Times New Roman"/>
                <w:b w:val="false"/>
                <w:bCs w:val="false"/>
                <w:sz w:val="20"/>
                <w:szCs w:val="20"/>
              </w:rPr>
              <w:t xml:space="preserve"> ngày (khẩn cấp 24 giờ) để thống nhất với cam kết của Bên A với CĐT.</w:t>
            </w:r>
          </w:p>
        </w:tc>
      </w:tr>
    </w:tbl>
    <w:p>
      <w:pPr>
        <w:pStyle w:val="Heading1"/>
        <w:keepNext/>
        <w:spacing w:after="120" w:before="300"/>
      </w:pPr>
      <w:r>
        <w:rPr>
          <w:rFonts w:ascii="Times New Roman" w:cs="Times New Roman" w:eastAsia="Times New Roman" w:hAnsi="Times New Roman"/>
          <w:b/>
          <w:bCs/>
          <w:color w:val="1F3864"/>
          <w:sz w:val="28"/>
          <w:szCs w:val="28"/>
        </w:rPr>
        <w:t xml:space="preserve">VII. VIỆC CẦN LÀM TRƯỚC VÒNG THƯƠNG THẢO TIẾP THEO</w:t>
      </w:r>
    </w:p>
    <w:p>
      <w:pPr>
        <w:spacing w:after="100" w:before="0" w:line="300"/>
        <w:jc w:val="both"/>
      </w:pPr>
      <w:r>
        <w:rPr>
          <w:rFonts w:ascii="Times New Roman" w:cs="Times New Roman" w:eastAsia="Times New Roman" w:hAnsi="Times New Roman"/>
          <w:sz w:val="26"/>
          <w:szCs w:val="26"/>
        </w:rPr>
        <w:t xml:space="preserve">1. Xác nhận 8 điểm diễn giải tại Mục IV (đặc biệt “bptk” ở 3.5 và 17.1e).</w:t>
      </w:r>
    </w:p>
    <w:p>
      <w:pPr>
        <w:spacing w:after="100" w:before="0" w:line="300"/>
        <w:jc w:val="both"/>
      </w:pPr>
      <w:r>
        <w:rPr>
          <w:rFonts w:ascii="Times New Roman" w:cs="Times New Roman" w:eastAsia="Times New Roman" w:hAnsi="Times New Roman"/>
          <w:sz w:val="26"/>
          <w:szCs w:val="26"/>
        </w:rPr>
        <w:t xml:space="preserve">2. Xác nhận điểm 19.4 bảo lãnh thanh toán 15%: đã đồng ý hay bỏ sót trong biên bản.</w:t>
      </w:r>
    </w:p>
    <w:p>
      <w:pPr>
        <w:spacing w:after="100" w:before="0" w:line="300"/>
        <w:jc w:val="both"/>
      </w:pPr>
      <w:r>
        <w:rPr>
          <w:rFonts w:ascii="Times New Roman" w:cs="Times New Roman" w:eastAsia="Times New Roman" w:hAnsi="Times New Roman"/>
          <w:sz w:val="26"/>
          <w:szCs w:val="26"/>
        </w:rPr>
        <w:t xml:space="preserve">3. Chốt tiến độ (7.1) và mốc tiến độ; chốt giá trị hợp đồng theo Biểu 01 (chiết khấu 164.702 đ) để tính lại tạm ứng 25%.</w:t>
      </w:r>
    </w:p>
    <w:p>
      <w:pPr>
        <w:spacing w:after="100" w:before="0" w:line="300"/>
        <w:jc w:val="both"/>
      </w:pPr>
      <w:r>
        <w:rPr>
          <w:rFonts w:ascii="Times New Roman" w:cs="Times New Roman" w:eastAsia="Times New Roman" w:hAnsi="Times New Roman"/>
          <w:sz w:val="26"/>
          <w:szCs w:val="26"/>
        </w:rPr>
        <w:t xml:space="preserve">4. Chọn các kiến nghị K1–K16 đưa vào vòng thương thảo tiếp theo; ưu tiên K1, K2, K4, K5, K6, K7 (rủi ro cao, có căn cứ FIDIC/pháp luật rõ ràng).</w:t>
      </w:r>
    </w:p>
    <w:p>
      <w:pPr>
        <w:spacing w:after="100" w:before="0" w:line="300"/>
        <w:jc w:val="both"/>
      </w:pPr>
      <w:r>
        <w:rPr>
          <w:rFonts w:ascii="Times New Roman" w:cs="Times New Roman" w:eastAsia="Times New Roman" w:hAnsi="Times New Roman"/>
          <w:sz w:val="26"/>
          <w:szCs w:val="26"/>
        </w:rPr>
        <w:t xml:space="preserve">5. Pháp chế đối chiếu các căn cứ pháp lý mới (Luật Xây dựng 135/2025/QH15 – Điều 86; Nghị định 207/2026/NĐ-CP về sự cố công trình; Nghị định 210/2026/NĐ-CP về hợp đồng xây dựng – căn cứ tạm dừng, chấm dứt, hình thức giá) trước khi trình ký.</w:t>
      </w:r>
    </w:p>
    <w:p>
      <w:pPr>
        <w:pStyle w:val="Heading2"/>
        <w:keepNext/>
        <w:spacing w:after="80" w:before="200"/>
      </w:pPr>
      <w:r>
        <w:rPr>
          <w:rFonts w:ascii="Times New Roman" w:cs="Times New Roman" w:eastAsia="Times New Roman" w:hAnsi="Times New Roman"/>
          <w:b/>
          <w:bCs/>
          <w:color w:val="1F3864"/>
          <w:sz w:val="26"/>
          <w:szCs w:val="26"/>
        </w:rPr>
        <w:t xml:space="preserve">Hồ sơ kèm theo</w:t>
      </w:r>
    </w:p>
    <w:p>
      <w:pPr>
        <w:spacing w:after="100" w:before="0" w:line="300"/>
        <w:jc w:val="both"/>
      </w:pPr>
      <w:r>
        <w:rPr>
          <w:rFonts w:ascii="Times New Roman" w:cs="Times New Roman" w:eastAsia="Times New Roman" w:hAnsi="Times New Roman"/>
          <w:sz w:val="26"/>
          <w:szCs w:val="26"/>
        </w:rPr>
        <w:t xml:space="preserve">- 17.10.2026 HĐ NOXH YÊN SỞ – PHẦN NGẦM – Sau thương thảo (track changes so với PH).docx</w:t>
      </w:r>
    </w:p>
    <w:p>
      <w:pPr>
        <w:spacing w:after="100" w:before="0" w:line="300"/>
        <w:jc w:val="both"/>
      </w:pPr>
      <w:r>
        <w:rPr>
          <w:rFonts w:ascii="Times New Roman" w:cs="Times New Roman" w:eastAsia="Times New Roman" w:hAnsi="Times New Roman"/>
          <w:sz w:val="26"/>
          <w:szCs w:val="26"/>
        </w:rPr>
        <w:t xml:space="preserve">- 17.10.2026 HĐ NOXH YÊN SỞ – PHẦN NGẦM – Sau thương thảo (bản sạch).docx</w:t>
      </w:r>
    </w:p>
    <w:sectPr>
      <w:footerReference w:type="default" r:id="rId7"/>
      <w:pgSz w:w="11906" w:h="16838" w:orient="portrait"/>
      <w:pgMar w:top="1134" w:right="1000" w:bottom="1134" w:left="130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22"/>
        <w:szCs w:val="22"/>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rPr>
      <w:rFonts w:ascii="Times New Roman" w:cs="Times New Roman" w:eastAsia="Times New Roman" w:hAnsi="Times New Roman"/>
      <w:b/>
      <w:bCs/>
      <w:sz w:val="28"/>
      <w:szCs w:val="28"/>
    </w:rPr>
  </w:style>
  <w:style w:type="paragraph" w:styleId="Heading2">
    <w:name w:val="Heading 2"/>
    <w:basedOn w:val="Normal"/>
    <w:next w:val="Normal"/>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2026-10-19T06:37:31.511Z</dcterms:created>
  <dcterms:modified xsi:type="dcterms:W3CDTF">2026-10-19T06:37:31.527Z</dcterms:modified>
</cp:coreProperties>
</file>

<file path=docProps/custom.xml><?xml version="1.0" encoding="utf-8"?>
<Properties xmlns="http://schemas.openxmlformats.org/officeDocument/2006/custom-properties" xmlns:vt="http://schemas.openxmlformats.org/officeDocument/2006/docPropsVTypes"/>
</file>