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8"/>
        <w:gridCol w:w="313"/>
        <w:gridCol w:w="2982"/>
        <w:gridCol w:w="631"/>
        <w:gridCol w:w="1109"/>
        <w:gridCol w:w="2809"/>
      </w:tblGrid>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0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8"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3"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2"/>
        <w:gridCol w:w="292"/>
        <w:gridCol w:w="3146"/>
        <w:gridCol w:w="439"/>
        <w:gridCol w:w="1511"/>
        <w:gridCol w:w="2269"/>
      </w:tblGrid>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72842163"/>
      <w:bookmarkStart w:id="1" w:name="_Toc273427126"/>
      <w:bookmarkStart w:id="2" w:name="_Toc181075467"/>
      <w:bookmarkStart w:id="3" w:name="_Toc269221776"/>
      <w:bookmarkStart w:id="4" w:name="_Toc283736554"/>
      <w:bookmarkStart w:id="5" w:name="_Toc283735875"/>
      <w:bookmarkStart w:id="6" w:name="_Toc179249784"/>
      <w:bookmarkStart w:id="7" w:name="_Toc180807089"/>
      <w:bookmarkStart w:id="8" w:name="_Toc283736673"/>
      <w:bookmarkStart w:id="9" w:name="_Toc183486575"/>
      <w:bookmarkStart w:id="10" w:name="_Toc181075441"/>
      <w:bookmarkStart w:id="11" w:name="_Toc183486577"/>
      <w:bookmarkStart w:id="12" w:name="_Toc283298425"/>
      <w:bookmarkStart w:id="13" w:name="_Toc273003007"/>
      <w:bookmarkStart w:id="14" w:name="_Toc272318672"/>
      <w:bookmarkStart w:id="15" w:name="_Toc269221361"/>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80807067"/>
      <w:bookmarkStart w:id="17" w:name="_Toc179249741"/>
      <w:bookmarkStart w:id="18" w:name="_Toc273427102"/>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80807068"/>
      <w:bookmarkStart w:id="21" w:name="_Toc179249742"/>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79249743"/>
      <w:bookmarkStart w:id="23" w:name="_Toc273427103"/>
      <w:bookmarkStart w:id="24" w:name="_Toc181075447"/>
      <w:bookmarkStart w:id="25" w:name="_Toc180807069"/>
      <w:bookmarkEnd w:id="18"/>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1075450"/>
      <w:bookmarkStart w:id="27" w:name="_Toc180807072"/>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179249752"/>
      <w:bookmarkStart w:id="35" w:name="_Toc180807077"/>
      <w:bookmarkStart w:id="36" w:name="_Toc181075455"/>
      <w:bookmarkStart w:id="37" w:name="_Toc273427113"/>
      <w:r>
        <w:rPr>
          <w:rStyle w:val="StyleHeading3BoldCharCharCharCharCharCharCharCharCharCharCharCharCharCharChar"/>
          <w:rFonts w:ascii="Times New Roman" w:hAnsi="Times New Roman"/>
          <w:sz w:val="26"/>
          <w:szCs w:val="26"/>
          <w:lang w:val="nl-NL"/>
        </w:rPr>
        <w:t>1.15.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79249765"/>
      <w:bookmarkStart w:id="39" w:name="_Toc179249782"/>
      <w:bookmarkStart w:id="40" w:name="_Toc181075457"/>
      <w:bookmarkStart w:id="41" w:name="_Toc273427115"/>
      <w:bookmarkStart w:id="42" w:name="_Toc180807079"/>
      <w:bookmarkEnd w:id="39"/>
      <w:r>
        <w:rPr>
          <w:rStyle w:val="StyleHeading3BoldCharCharCharCharCharCharCharCharCharCharCharCharCharCharChar"/>
          <w:rFonts w:ascii="Times New Roman" w:hAnsi="Times New Roman"/>
          <w:sz w:val="26"/>
          <w:szCs w:val="26"/>
          <w:lang w:val="nl-NL"/>
        </w:rPr>
        <w:t xml:space="preserve">1.17. Thiết bị của </w:t>
      </w:r>
      <w:bookmarkEnd w:id="38"/>
      <w:bookmarkEnd w:id="40"/>
      <w:bookmarkEnd w:id="41"/>
      <w:bookmarkEnd w:id="42"/>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0807083"/>
      <w:bookmarkStart w:id="44" w:name="_Toc273427119"/>
      <w:bookmarkStart w:id="45" w:name="_Toc181075461"/>
      <w:bookmarkStart w:id="46" w:name="_Toc179249775"/>
      <w:bookmarkEnd w:id="46"/>
      <w:r>
        <w:rPr>
          <w:rStyle w:val="StyleHeading3BoldCharCharCharCharCharCharCharCharCharCharCharCharCharCharChar"/>
          <w:rFonts w:ascii="Times New Roman" w:hAnsi="Times New Roman"/>
          <w:sz w:val="26"/>
          <w:szCs w:val="26"/>
          <w:lang w:val="nl-NL"/>
        </w:rPr>
        <w:t xml:space="preserve">1.18. Công trình: </w:t>
      </w:r>
      <w:bookmarkEnd w:id="43"/>
      <w:bookmarkEnd w:id="44"/>
      <w:bookmarkEnd w:id="45"/>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commentRangeStart w:id="1"/>
      <w:r>
        <w:rPr/>
        <w:commentReference w:id="0"/>
      </w:r>
      <w:commentRangeEnd w:id="1"/>
      <w:r>
        <w:commentReference w:id="1"/>
      </w:r>
      <w:r>
        <w:rPr/>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1.20.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1.21.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0807085"/>
      <w:bookmarkStart w:id="48" w:name="_Toc179249775_Copy_1"/>
      <w:bookmarkStart w:id="49" w:name="_Toc181075463"/>
      <w:bookmarkStart w:id="50" w:name="_Toc273427121"/>
      <w:bookmarkStart w:id="51" w:name="_Toc179249776"/>
      <w:bookmarkEnd w:id="48"/>
      <w:r>
        <w:rPr>
          <w:rStyle w:val="StyleHeading3BoldCharCharCharCharCharCharCharCharCharCharCharCharCharCharChar"/>
          <w:rFonts w:ascii="Times New Roman" w:hAnsi="Times New Roman"/>
          <w:sz w:val="26"/>
          <w:szCs w:val="26"/>
          <w:lang w:val="nl-NL"/>
        </w:rPr>
        <w:t>1.22. Rủi ro và bất khả kháng</w:t>
      </w:r>
      <w:bookmarkEnd w:id="47"/>
      <w:bookmarkEnd w:id="49"/>
      <w:bookmarkEnd w:id="50"/>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273427122"/>
      <w:bookmarkStart w:id="53" w:name="_Toc181075464"/>
      <w:bookmarkStart w:id="54" w:name="_Toc180807086"/>
      <w:bookmarkStart w:id="55" w:name="_Toc179249777"/>
      <w:r>
        <w:rPr>
          <w:rStyle w:val="StyleHeading3BoldCharCharCharCharCharCharCharCharCharCharCharCharCharCharChar"/>
          <w:rFonts w:ascii="Times New Roman" w:hAnsi="Times New Roman"/>
          <w:sz w:val="26"/>
          <w:szCs w:val="26"/>
          <w:lang w:val="nl-NL"/>
        </w:rPr>
        <w:t>1.23.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273427123"/>
      <w:bookmarkStart w:id="57" w:name="_Toc181075465"/>
      <w:bookmarkStart w:id="58" w:name="_Toc180807087"/>
      <w:bookmarkStart w:id="59" w:name="_Toc179249779"/>
      <w:r>
        <w:rPr>
          <w:rStyle w:val="StyleHeading3BoldCharCharCharCharCharCharCharCharCharCharCharCharCharCharChar"/>
          <w:rFonts w:ascii="Times New Roman" w:hAnsi="Times New Roman"/>
          <w:sz w:val="26"/>
          <w:szCs w:val="26"/>
          <w:lang w:val="nl-NL"/>
        </w:rPr>
        <w:t>1.24.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1.25.</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273427126_Copy_1"/>
      <w:bookmarkStart w:id="61" w:name="_Toc179249784_Copy_1"/>
      <w:bookmarkStart w:id="62" w:name="_Toc272842163_Copy_1"/>
      <w:bookmarkStart w:id="63" w:name="_Toc283736554_Copy_1"/>
      <w:bookmarkStart w:id="64" w:name="_Toc183486575_Copy_1"/>
      <w:bookmarkStart w:id="65" w:name="_Toc283735875_Copy_1"/>
      <w:bookmarkStart w:id="66" w:name="_Toc273003007_Copy_1"/>
      <w:bookmarkStart w:id="67" w:name="_Toc180807089_Copy_1"/>
      <w:bookmarkStart w:id="68" w:name="_Toc181075467_Copy_1"/>
      <w:bookmarkStart w:id="69" w:name="_Toc283736673_Copy_1"/>
      <w:bookmarkStart w:id="70" w:name="_Toc283298425_Copy_1"/>
      <w:bookmarkStart w:id="71" w:name="_Toc269221776_Copy_1"/>
      <w:bookmarkStart w:id="72" w:name="_Toc181075441_Copy_1"/>
      <w:bookmarkStart w:id="73" w:name="_Toc272318672_Copy_1"/>
      <w:bookmarkStart w:id="74" w:name="_Toc269221361_Copy_1"/>
      <w:bookmarkStart w:id="75" w:name="_Toc179249782_Copy_1"/>
      <w:bookmarkStart w:id="76" w:name="_Toc183486577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hoặc một phần công việc khi chưa được Bên A chấp thuận bằng văn bản (trừ việc mua vật tư, thuê máy, khoán nhân công);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3"/>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3"/>
      <w:r>
        <w:commentReference w:id="3"/>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4"/>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5"/>
      <w:r>
        <w:rPr>
          <w:rFonts w:ascii="Times New Roman" w:hAnsi="Times New Roman"/>
          <w:sz w:val="26"/>
          <w:szCs w:val="26"/>
        </w:rPr>
        <w:t>.</w:t>
      </w:r>
      <w:commentRangeEnd w:id="5"/>
      <w:r>
        <w:commentReference w:id="5"/>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6"/>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6"/>
      <w:r>
        <w:commentReference w:id="6"/>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true"/>
        <w:spacing w:lineRule="auto" w:line="276" w:before="0" w:after="120"/>
        <w:jc w:val="both"/>
        <w:textAlignment w:val="baseline"/>
        <w:rPr>
          <w:rFonts w:ascii="Times New Roman" w:hAnsi="Times New Roman"/>
          <w:sz w:val="26"/>
          <w:szCs w:val="26"/>
        </w:rPr>
      </w:pPr>
      <w:r>
        <w:rPr/>
        <w:commentReference w:id="7"/>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8"/>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8"/>
      <w:r>
        <w:commentReference w:id="8"/>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commentRangeStart w:id="9"/>
      <w:r>
        <w:rPr>
          <w:rFonts w:ascii="Times New Roman" w:hAnsi="Times New Roman"/>
          <w:sz w:val="26"/>
          <w:szCs w:val="26"/>
        </w:rPr>
        <w:t>Ngày bắt đầu là ngày do Bên A thông báo bằng văn bản cho Bên B (thông báo trước tối thiểu 07 ngày) sau khi các điều kiện sau đã được đáp ứng:</w:t>
      </w:r>
      <w:commentRangeEnd w:id="9"/>
      <w:r>
        <w:commentReference w:id="9"/>
      </w:r>
      <w:r>
        <w:rPr>
          <w:rFonts w:ascii="Times New Roman" w:hAnsi="Times New Roman"/>
          <w:sz w:val="26"/>
          <w:szCs w:val="26"/>
        </w:rPr>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bàn giao hồ sơ thiết kế bản vẽ thi công giai đoạn đầu;</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mặt bằng giai đoạn đầu đủ điều kiện thi công theo Tiến độ thi công chi tiết; mặt bằng, hố đào các giai đoạn tiếp theo được bàn giao phù hợp với tiến độ;</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10"/>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10"/>
      <w:r>
        <w:commentReference w:id="10"/>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commentReference w:id="11"/>
      </w:r>
    </w:p>
    <w:p>
      <w:pPr>
        <w:pStyle w:val="Normal"/>
        <w:spacing w:lineRule="auto" w:line="276" w:before="0" w:after="120"/>
        <w:jc w:val="both"/>
        <w:rPr>
          <w:rFonts w:ascii="Times New Roman" w:hAnsi="Times New Roman"/>
          <w:b/>
          <w:bCs/>
          <w:sz w:val="26"/>
          <w:szCs w:val="26"/>
        </w:rPr>
      </w:pPr>
      <w:commentRangeStart w:id="12"/>
      <w:r>
        <w:rPr>
          <w:rFonts w:ascii="Times New Roman" w:hAnsi="Times New Roman"/>
          <w:b/>
          <w:bCs/>
          <w:sz w:val="26"/>
          <w:szCs w:val="26"/>
        </w:rPr>
        <w:t>7.3. Hậu quả của việc chậm tiến độ thực hiện: theo Điều 18.3.</w:t>
      </w:r>
      <w:commentRangeEnd w:id="12"/>
      <w:r>
        <w:commentReference w:id="12"/>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3"/>
      <w:r>
        <w:rPr>
          <w:rFonts w:ascii="Times New Roman" w:hAnsi="Times New Roman"/>
          <w:sz w:val="26"/>
          <w:szCs w:val="26"/>
        </w:rPr>
        <w:t xml:space="preserve">bảo hiểm trách nhiệm dân sự đối với bên thứ ba cho phần công việc của Bên </w:t>
      </w:r>
      <w:commentRangeStart w:id="14"/>
      <w:r>
        <w:rPr>
          <w:rFonts w:ascii="Times New Roman" w:hAnsi="Times New Roman"/>
          <w:sz w:val="26"/>
          <w:szCs w:val="26"/>
        </w:rPr>
        <w:t>B</w:t>
      </w:r>
      <w:r>
        <w:rPr>
          <w:rFonts w:ascii="Times New Roman" w:hAnsi="Times New Roman"/>
          <w:sz w:val="26"/>
          <w:szCs w:val="26"/>
        </w:rPr>
      </w:r>
      <w:commentRangeEnd w:id="13"/>
      <w:r>
        <w:commentReference w:id="13"/>
      </w:r>
      <w:r>
        <w:rPr>
          <w:rFonts w:ascii="Times New Roman" w:hAnsi="Times New Roman"/>
          <w:sz w:val="26"/>
          <w:szCs w:val="26"/>
        </w:rPr>
      </w:r>
      <w:commentRangeEnd w:id="14"/>
      <w:r>
        <w:commentReference w:id="14"/>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5"/>
      <w:r>
        <w:rPr>
          <w:rFonts w:ascii="Times New Roman" w:hAnsi="Times New Roman"/>
          <w:sz w:val="26"/>
          <w:szCs w:val="26"/>
        </w:rPr>
        <w:t>Thời hạn bảo hành: 36 tháng kể từ ngày Chủ đầu tư ký biên bản nghiệm thu hoàn thành hạng mục Công trình theo phạm vi hợp đồng, nhưng không ngắn hơn thời hạn bảo hành mà Bên A phải chịu theo Hợp đồng thầu chính.</w:t>
      </w:r>
      <w:commentRangeEnd w:id="15"/>
      <w:r>
        <w:commentReference w:id="15"/>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6"/>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w:t>
      </w:r>
      <w:r>
        <w:rPr>
          <w:rFonts w:ascii="Times New Roman" w:hAnsi="Times New Roman"/>
          <w:sz w:val="26"/>
          <w:szCs w:val="26"/>
          <w:highlight w:val="yellow"/>
        </w:rPr>
        <w:t>03</w:t>
      </w:r>
      <w:r>
        <w:rPr>
          <w:rFonts w:ascii="Times New Roman" w:hAnsi="Times New Roman"/>
          <w:sz w:val="26"/>
          <w:szCs w:val="26"/>
        </w:rPr>
        <w:t xml:space="preserve"> ngày (đối với sự cố khẩn cấp, thấm, rò rỉ nước: </w:t>
      </w:r>
      <w:r>
        <w:rPr>
          <w:rFonts w:ascii="Times New Roman" w:hAnsi="Times New Roman"/>
          <w:sz w:val="26"/>
          <w:szCs w:val="26"/>
          <w:highlight w:val="yellow"/>
        </w:rPr>
        <w:t>24</w:t>
      </w:r>
      <w:r>
        <w:rPr>
          <w:rFonts w:ascii="Times New Roman" w:hAnsi="Times New Roman"/>
          <w:sz w:val="26"/>
          <w:szCs w:val="26"/>
        </w:rPr>
        <w:t xml:space="preserve"> giờ) kể từ khi nhận được thông báo, Bên A có quyền xử lý theo Điều 18.4.</w:t>
      </w:r>
      <w:commentRangeEnd w:id="16"/>
      <w:r>
        <w:commentReference w:id="16"/>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7"/>
      <w:r>
        <w:rPr>
          <w:rFonts w:ascii="Times New Roman" w:hAnsi="Times New Roman"/>
          <w:sz w:val="26"/>
          <w:szCs w:val="26"/>
        </w:rPr>
        <w:t>Hợp đồng theo đơn giá cố định, không áp dụng điều chỉnh giá do biến động giá vật liệu, nhân công, máy thi công trong suốt thời gian thực hiện Hợp đồng.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commentRangeEnd w:id="17"/>
      <w:r>
        <w:commentReference w:id="17"/>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8"/>
      <w:r>
        <w:rPr>
          <w:rFonts w:ascii="Times New Roman" w:hAnsi="Times New Roman"/>
          <w:sz w:val="26"/>
          <w:szCs w:val="26"/>
        </w:rPr>
        <w:t xml:space="preserve">a) Giá </w:t>
      </w:r>
      <w:commentRangeStart w:id="19"/>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9"/>
      <w:r>
        <w:commentReference w:id="19"/>
      </w:r>
      <w:r>
        <w:rPr>
          <w:rFonts w:ascii="Times New Roman" w:hAnsi="Times New Roman"/>
          <w:sz w:val="26"/>
          <w:szCs w:val="26"/>
        </w:rPr>
        <w:t>.</w:t>
      </w:r>
      <w:commentRangeEnd w:id="18"/>
      <w:r>
        <w:commentReference w:id="18"/>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commentReference w:id="20"/>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21"/>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21"/>
      <w:r>
        <w:commentReference w:id="21"/>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22"/>
      <w:r>
        <w:rPr>
          <w:rFonts w:ascii="Times New Roman" w:hAnsi="Times New Roman"/>
          <w:sz w:val="26"/>
          <w:szCs w:val="26"/>
        </w:rPr>
        <w:t xml:space="preserve">, Tư vấn giám sát </w:t>
      </w:r>
      <w:r>
        <w:rPr>
          <w:rFonts w:ascii="Times New Roman" w:hAnsi="Times New Roman"/>
          <w:sz w:val="26"/>
          <w:szCs w:val="26"/>
        </w:rPr>
      </w:r>
      <w:commentRangeEnd w:id="22"/>
      <w:r>
        <w:commentReference w:id="22"/>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23"/>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23"/>
      <w:r>
        <w:commentReference w:id="23"/>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commentReference w:id="24"/>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5"/>
      <w:r>
        <w:rPr>
          <w:rFonts w:ascii="Times New Roman" w:hAnsi="Times New Roman"/>
          <w:sz w:val="26"/>
          <w:szCs w:val="26"/>
        </w:rPr>
        <w:t>Trường hợp Bên B không nộp bảo lãnh bảo hành, Bên A giữ lại 05% giá trị quyết toán và thanh toán cho Bên B khi kết thúc thời hạn bảo hành. Hồ sơ thanh toán gồm:</w:t>
      </w:r>
      <w:commentRangeEnd w:id="25"/>
      <w:r>
        <w:commentReference w:id="25"/>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 ngày kể từ ngày Bên A phê duyệt hồ sơ thanh toán hợp lệ của Bên B. Giá trị quyết toán còn lại được thanh toán trong vòng 20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commentReference w:id="26"/>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commentReference w:id="27"/>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commentReference w:id="28"/>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commentReference w:id="29"/>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tru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commentReference w:id="30"/>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31"/>
      <w:commentRangeStart w:id="32"/>
      <w:r>
        <w:rPr>
          <w:rFonts w:ascii="Times New Roman" w:hAnsi="Times New Roman"/>
          <w:sz w:val="26"/>
          <w:szCs w:val="26"/>
          <w:lang w:val="vi-VN"/>
        </w:rPr>
        <w:t xml:space="preserve">c) Gia hạn thời gian hoàn thành: Bên B được gia hạn thời gian hoàn thành tương ứng với mức ảnh hưởng thực tế đến đường găng của Tiến độ thi công chi tiết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Điều kiện thời tiết bất lợi bất thường, có số liệu xác nhận của cơ quan khí tượng thủy văn;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B tạm dừng theo Điều 17.1 điểm a(iii) do Bên A chậm thanh toán; (vi) Các trường hợp tạm ngừng theo quyết định của Bên A mà không phải do lỗi của Bên B. Bên B phải thông báo bằng văn bản cho Bên A trong vòng </w:t>
      </w:r>
      <w:r>
        <w:rPr>
          <w:rFonts w:ascii="Times New Roman" w:hAnsi="Times New Roman"/>
          <w:sz w:val="26"/>
          <w:szCs w:val="26"/>
          <w:highlight w:val="yellow"/>
          <w:lang w:val="vi-VN"/>
        </w:rPr>
        <w:t>14</w:t>
      </w:r>
      <w:r>
        <w:rPr>
          <w:rFonts w:ascii="Times New Roman" w:hAnsi="Times New Roman"/>
          <w:sz w:val="26"/>
          <w:szCs w:val="26"/>
          <w:lang w:val="vi-VN"/>
        </w:rPr>
        <w:t xml:space="preserve"> ngày kể từ ngày biết hoặc phải biết sự kiện, kèm tài liệu chứng minh và phân tích ảnh hưởng đến đường găng; quá thời hạn này Bên B mất quyền yêu cầu gia hạn và chi phí liên quan đến sự kiện đó.</w:t>
      </w:r>
      <w:r>
        <w:rPr>
          <w:rFonts w:ascii="Times New Roman" w:hAnsi="Times New Roman"/>
          <w:sz w:val="26"/>
          <w:szCs w:val="26"/>
          <w:lang w:val="vi-VN"/>
        </w:rPr>
      </w:r>
      <w:commentRangeEnd w:id="31"/>
      <w:r>
        <w:commentReference w:id="31"/>
      </w:r>
      <w:commentRangeEnd w:id="32"/>
      <w:r>
        <w:commentReference w:id="32"/>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33"/>
      <w:r>
        <w:rPr>
          <w:rFonts w:ascii="Times New Roman" w:hAnsi="Times New Roman"/>
          <w:b/>
          <w:sz w:val="26"/>
          <w:szCs w:val="26"/>
          <w:lang w:val="vi-VN"/>
        </w:rPr>
        <w:t>15.3. Điều chỉnh giá trị Hợp đồng:</w:t>
      </w:r>
      <w:commentRangeEnd w:id="33"/>
      <w:r>
        <w:commentReference w:id="33"/>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Chi phí tạm dừng, dừng chờ thực hiện theo Điều 17.1 điểm c.</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commentRangeStart w:id="34"/>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đơn giá được phê duyệt không vượt quá đơn giá Chủ đầu tư phê duyệt cho Bên A đối với công việc tương ứng. Bên B nộp hồ sơ phát sinh trong vòng 07 ngày kể từ ngày nhận được yêu cầu; Bên A xem xét trong vòng </w:t>
      </w:r>
      <w:r>
        <w:rPr>
          <w:rFonts w:ascii="Times New Roman" w:hAnsi="Times New Roman"/>
          <w:sz w:val="26"/>
          <w:szCs w:val="26"/>
          <w:highlight w:val="yellow"/>
          <w:lang w:val="vi-VN"/>
        </w:rPr>
        <w:t>14</w:t>
      </w:r>
      <w:r>
        <w:rPr>
          <w:rFonts w:ascii="Times New Roman" w:hAnsi="Times New Roman"/>
          <w:sz w:val="26"/>
          <w:szCs w:val="26"/>
          <w:lang w:val="vi-VN"/>
        </w:rPr>
        <w:t xml:space="preserve"> ngày làm việc kể từ ngày nhận đủ hồ sơ hợp lệ. Quá thời hạn nêu trên mà Bên A chưa có ý kiến, Bên B có quyền đề nghị họp để thống nhất; đơn giá chỉ có hiệu lực khi được Bên A chấp thuận bằng văn bản. Trong thời gian chờ thống nhất đơn giá, Bên B phải thực hiện công việc theo yêu cầu bằng văn bản của Bên A và được tạm thanh toán theo đơn giá tạm tính do Bên A xác định; giá trị được điều chỉnh khi đơn giá chính thức được thống nhất.</w:t>
      </w:r>
      <w:commentRangeEnd w:id="34"/>
      <w:r>
        <w:commentReference w:id="34"/>
      </w:r>
      <w:r>
        <w:rPr>
          <w:rFonts w:ascii="Times New Roman" w:hAnsi="Times New Roman"/>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(iii) Thay đổi biện pháp thi công, trình tự phối hợp do Bên B đề xuất hoặc để khắc phục sai sót, vi phạm của Bên B không được coi là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và đơn giá tạm tính quy định tại Điều 15.4, Bên A không có nghĩa vụ thanh toán công việc phát sinh, thay đổi không được Bên A chấp thuận bằng văn bản.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35"/>
      <w:commentRangeStart w:id="36"/>
      <w:r>
        <w:rPr>
          <w:rFonts w:ascii="Times New Roman" w:hAnsi="Times New Roman"/>
          <w:sz w:val="26"/>
          <w:szCs w:val="26"/>
          <w:lang w:val="vi-VN"/>
        </w:rPr>
        <w:t xml:space="preserve">(v) Bên A không kiểm tra, cho ý kiến đối với hồ sơ thanh toán quá </w:t>
      </w:r>
      <w:r>
        <w:rPr>
          <w:rFonts w:ascii="Times New Roman" w:hAnsi="Times New Roman"/>
          <w:sz w:val="26"/>
          <w:szCs w:val="26"/>
          <w:highlight w:val="yellow"/>
          <w:lang w:val="vi-VN"/>
        </w:rPr>
        <w:t>28</w:t>
      </w:r>
      <w:r>
        <w:rPr>
          <w:rFonts w:ascii="Times New Roman" w:hAnsi="Times New Roman"/>
          <w:sz w:val="26"/>
          <w:szCs w:val="26"/>
          <w:lang w:val="vi-VN"/>
        </w:rPr>
        <w:t xml:space="preserve"> ngày kể từ ngày Bên B trình hồ sơ thanh toán đầy đủ, đúng quy định của Hợp đồng.</w:t>
      </w:r>
      <w:r>
        <w:rPr>
          <w:rFonts w:ascii="Times New Roman" w:hAnsi="Times New Roman"/>
          <w:sz w:val="26"/>
          <w:szCs w:val="26"/>
          <w:lang w:val="vi-VN"/>
        </w:rPr>
      </w:r>
      <w:commentRangeEnd w:id="36"/>
      <w:r>
        <w:commentReference w:id="36"/>
      </w:r>
      <w:commentRangeEnd w:id="35"/>
      <w:r>
        <w:commentReference w:id="35"/>
      </w:r>
      <w:r>
        <w:rPr>
          <w:rFonts w:ascii="Times New Roman" w:hAnsi="Times New Roman"/>
          <w:sz w:val="26"/>
          <w:szCs w:val="26"/>
          <w:lang w:val="vi-VN"/>
        </w:rPr>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28</w:t>
      </w:r>
      <w:r>
        <w:rPr>
          <w:rFonts w:ascii="Times New Roman" w:hAnsi="Times New Roman"/>
          <w:bCs/>
          <w:sz w:val="26"/>
          <w:szCs w:val="26"/>
          <w:lang w:val="vi-VN"/>
        </w:rPr>
        <w:t xml:space="preserve"> ngày trước</w:t>
      </w:r>
      <w:r>
        <w:rPr>
          <w:rFonts w:ascii="Times New Roman" w:hAnsi="Times New Roman"/>
          <w:bCs/>
          <w:sz w:val="26"/>
          <w:szCs w:val="26"/>
          <w:lang w:val="vi-VN"/>
        </w:rPr>
        <w:t>,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7"/>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7"/>
      <w:r>
        <w:commentReference w:id="37"/>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8"/>
      <w:r>
        <w:rPr>
          <w:rFonts w:ascii="Times New Roman" w:hAnsi="Times New Roman"/>
          <w:sz w:val="26"/>
          <w:szCs w:val="26"/>
          <w:lang w:val="vi-VN"/>
        </w:rPr>
        <w:t>(iv) Hợp đồng thầu chính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8"/>
      <w:r>
        <w:commentReference w:id="38"/>
      </w:r>
      <w:r>
        <w:rPr>
          <w:rFonts w:ascii="Times New Roman" w:hAnsi="Times New Roman"/>
          <w:sz w:val="26"/>
          <w:szCs w:val="26"/>
          <w:lang w:val="vi-VN"/>
        </w:rPr>
      </w:r>
    </w:p>
    <w:p>
      <w:pPr>
        <w:pStyle w:val="Normal"/>
        <w:spacing w:lineRule="auto" w:line="276" w:before="0" w:after="120"/>
        <w:jc w:val="both"/>
        <w:rPr>
          <w:rFonts w:ascii="Times New Roman" w:hAnsi="Times New Roman"/>
          <w:bCs/>
          <w:sz w:val="26"/>
          <w:szCs w:val="26"/>
          <w:lang w:val="vi-VN"/>
        </w:rPr>
      </w:pPr>
      <w:commentRangeStart w:id="39"/>
      <w:r>
        <w:rPr>
          <w:rFonts w:ascii="Times New Roman" w:hAnsi="Times New Roman"/>
          <w:sz w:val="26"/>
          <w:szCs w:val="26"/>
          <w:lang w:val="vi-VN"/>
        </w:rPr>
        <w:t xml:space="preserve">(v) Bên A chấm dứt Hợp đồng vì lý do thuận tiện (Chủ đầu tư dừng, giãn, thay đổi Dự án hoặc theo nhu cầu của Bên A) sau khi thông báo bằng văn bản trước </w:t>
      </w:r>
      <w:r>
        <w:rPr>
          <w:rFonts w:ascii="Times New Roman" w:hAnsi="Times New Roman"/>
          <w:sz w:val="26"/>
          <w:szCs w:val="26"/>
          <w:highlight w:val="yellow"/>
          <w:lang w:val="vi-VN"/>
        </w:rPr>
        <w:t>28</w:t>
      </w:r>
      <w:r>
        <w:rPr>
          <w:rFonts w:ascii="Times New Roman" w:hAnsi="Times New Roman"/>
          <w:sz w:val="26"/>
          <w:szCs w:val="26"/>
          <w:lang w:val="vi-VN"/>
        </w:rPr>
        <w:t xml:space="preserve"> ngày; Bên A thanh toán cho Bên B theo Điều 18.5 điểm b, không chịu phạt và không bồi thường lợi nhuận dự kiến.</w:t>
      </w:r>
      <w:commentRangeEnd w:id="39"/>
      <w:r>
        <w:commentReference w:id="39"/>
      </w:r>
      <w:r>
        <w:rPr>
          <w:rFonts w:ascii="Times New Roman" w:hAnsi="Times New Roman"/>
          <w:sz w:val="26"/>
          <w:szCs w:val="26"/>
          <w:lang w:val="vi-VN"/>
        </w:rPr>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0"/>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40"/>
      <w:r>
        <w:commentReference w:id="40"/>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1"/>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41"/>
      <w:r>
        <w:commentReference w:id="41"/>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42"/>
      <w:r>
        <w:rPr>
          <w:rFonts w:ascii="Times New Roman" w:hAnsi="Times New Roman"/>
          <w:sz w:val="26"/>
          <w:szCs w:val="26"/>
          <w:lang w:val="vi-VN"/>
        </w:rPr>
        <w:t>Bên B không khắc phục vi phạm nghĩa vụ Hợp đồng trong thời hạn hợp lý nêu tại thông báo khắc phục bằng văn bản của Bên A;</w:t>
      </w:r>
      <w:commentRangeEnd w:id="42"/>
      <w:r>
        <w:commentReference w:id="42"/>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43"/>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43"/>
      <w:r>
        <w:commentReference w:id="43"/>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commentRangeStart w:id="44"/>
      <w:r>
        <w:rPr>
          <w:rFonts w:ascii="Times New Roman" w:hAnsi="Times New Roman"/>
          <w:sz w:val="26"/>
          <w:szCs w:val="26"/>
          <w:lang w:val="en-US"/>
        </w:rPr>
        <w:t xml:space="preserve">Công việc bị dừng liên tục quá </w:t>
      </w:r>
      <w:r>
        <w:rPr>
          <w:rFonts w:ascii="Times New Roman" w:hAnsi="Times New Roman"/>
          <w:sz w:val="26"/>
          <w:szCs w:val="26"/>
          <w:highlight w:val="yellow"/>
          <w:lang w:val="en-US"/>
        </w:rPr>
        <w:t>84</w:t>
      </w:r>
      <w:r>
        <w:rPr>
          <w:rFonts w:ascii="Times New Roman" w:hAnsi="Times New Roman"/>
          <w:sz w:val="26"/>
          <w:szCs w:val="26"/>
          <w:lang w:val="en-US"/>
        </w:rPr>
        <w:t xml:space="preserve"> ngày theo Điều 17.1 do lỗi của Bên A.</w:t>
      </w:r>
      <w:commentRangeEnd w:id="44"/>
      <w:r>
        <w:commentReference w:id="44"/>
      </w:r>
      <w:r>
        <w:rPr>
          <w:rFonts w:ascii="Times New Roman" w:hAnsi="Times New Roman"/>
          <w:sz w:val="26"/>
          <w:szCs w:val="26"/>
          <w:lang w:val="en-US"/>
        </w:rPr>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45"/>
      <w:commentRangeStart w:id="46"/>
      <w:r>
        <w:rPr>
          <w:rFonts w:ascii="Times New Roman" w:hAnsi="Times New Roman"/>
          <w:sz w:val="26"/>
          <w:szCs w:val="26"/>
        </w:rPr>
        <w:t>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 trường hợp mức phạt bị giới hạn theo quy định của pháp luật, Bên A vẫn có quyền yêu cầu bồi thường toàn bộ thiệt hại thực tế. Bên A có quyền thu tiền phạt, tiền bồi thường bằng cách khấu trừ vào giá trị thanh toán theo Điều 3.5 hoặc thu từ bảo lãnh thực hiện Hợp đồng.</w:t>
      </w:r>
      <w:r>
        <w:rPr>
          <w:rFonts w:ascii="Times New Roman" w:hAnsi="Times New Roman"/>
          <w:sz w:val="26"/>
          <w:szCs w:val="26"/>
        </w:rPr>
      </w:r>
      <w:commentRangeEnd w:id="46"/>
      <w:r>
        <w:commentReference w:id="46"/>
      </w:r>
      <w:commentRangeEnd w:id="45"/>
      <w:r>
        <w:commentReference w:id="45"/>
      </w:r>
      <w:r>
        <w:rPr>
          <w:rFonts w:ascii="Times New Roman" w:hAnsi="Times New Roman"/>
          <w:sz w:val="26"/>
          <w:szCs w:val="26"/>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47"/>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47"/>
      <w:r>
        <w:commentReference w:id="47"/>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48"/>
      <w:r>
        <w:rPr>
          <w:rFonts w:ascii="Times New Roman" w:hAnsi="Times New Roman"/>
          <w:b/>
          <w:sz w:val="26"/>
          <w:szCs w:val="26"/>
        </w:rPr>
        <w:t>18.4. Bên A tự thực hiện hoặc thuê đơn vị khác thực hiện thay Bên B:</w:t>
      </w:r>
      <w:commentRangeEnd w:id="48"/>
      <w:r>
        <w:commentReference w:id="48"/>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49"/>
      <w:r>
        <w:rPr>
          <w:rFonts w:ascii="Times New Roman" w:hAnsi="Times New Roman"/>
          <w:b/>
          <w:sz w:val="26"/>
          <w:szCs w:val="26"/>
        </w:rPr>
        <w:t>18.6. Trách nhiệm do Bên A chậm thanh toán:</w:t>
      </w:r>
      <w:commentRangeEnd w:id="49"/>
      <w:r>
        <w:commentReference w:id="49"/>
      </w:r>
      <w:r>
        <w:rPr>
          <w:rFonts w:ascii="Times New Roman" w:hAnsi="Times New Roman"/>
          <w:b/>
          <w:sz w:val="26"/>
          <w:szCs w:val="26"/>
        </w:rPr>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A chậm thanh toán quá </w:t>
      </w:r>
      <w:r>
        <w:rPr>
          <w:rFonts w:ascii="Times New Roman" w:hAnsi="Times New Roman"/>
          <w:sz w:val="26"/>
          <w:szCs w:val="26"/>
          <w:highlight w:val="yellow"/>
        </w:rPr>
        <w:t>14</w:t>
      </w:r>
      <w:r>
        <w:rPr>
          <w:rFonts w:ascii="Times New Roman" w:hAnsi="Times New Roman"/>
          <w:sz w:val="26"/>
          <w:szCs w:val="26"/>
        </w:rPr>
        <w:t xml:space="preserve"> ngày so với thời hạn tại Điều 10.3.2 điểm e do lỗi của Bên A, đối với hồ sơ thanh toán đầy đủ, hợp lệ, Bên A trả lãi trên số tiền chậm trả theo lãi suất tiền gửi kỳ hạn 01 tháng của ngân hàng nơi Bên A mở tài khoản thanh toán, tính từ ngày thứ </w:t>
      </w:r>
      <w:r>
        <w:rPr>
          <w:rFonts w:ascii="Times New Roman" w:hAnsi="Times New Roman"/>
          <w:sz w:val="26"/>
          <w:szCs w:val="26"/>
          <w:highlight w:val="yellow"/>
        </w:rPr>
        <w:t>15</w:t>
      </w:r>
      <w:r>
        <w:rPr>
          <w:rFonts w:ascii="Times New Roman" w:hAnsi="Times New Roman"/>
          <w:sz w:val="26"/>
          <w:szCs w:val="26"/>
        </w:rPr>
        <w:t xml:space="preserve"> đến ngày thanh toán thực tế. Không áp dụng lãi khi Chủ đầu tư chậm thanh toán cho Bên A phần công việc tương ứng. Việc chậm thanh toán không là căn cứ gia hạn thời gian thực hiện Hợp đồng, trừ trường hợp Bên B tạm dừng theo Điều 17.1. Ngoài lãi chậm trả và các quyền tại Điều 17, Bên B không được yêu cầu bồi thường khác do Bên A chậm thanh toán.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50"/>
      <w:commentRangeStart w:id="51"/>
      <w:r>
        <w:rPr>
          <w:rFonts w:ascii="Times New Roman" w:hAnsi="Times New Roman"/>
          <w:b/>
          <w:sz w:val="26"/>
          <w:szCs w:val="26"/>
        </w:rPr>
        <w:t>19.4. Thông tin về bố trí tài chính của Bên A:</w:t>
      </w:r>
      <w:r>
        <w:rPr>
          <w:rFonts w:ascii="Times New Roman" w:hAnsi="Times New Roman"/>
          <w:b/>
          <w:sz w:val="26"/>
          <w:szCs w:val="26"/>
        </w:rPr>
      </w:r>
      <w:commentRangeEnd w:id="51"/>
      <w:r>
        <w:commentReference w:id="51"/>
      </w:r>
      <w:commentRangeEnd w:id="50"/>
      <w:r>
        <w:commentReference w:id="50"/>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Trong vòng </w:t>
      </w:r>
      <w:r>
        <w:rPr>
          <w:rFonts w:ascii="Times New Roman" w:hAnsi="Times New Roman"/>
          <w:sz w:val="26"/>
          <w:szCs w:val="26"/>
          <w:highlight w:val="yellow"/>
        </w:rPr>
        <w:t>28</w:t>
      </w:r>
      <w:r>
        <w:rPr>
          <w:rFonts w:ascii="Times New Roman" w:hAnsi="Times New Roman"/>
          <w:sz w:val="26"/>
          <w:szCs w:val="26"/>
        </w:rPr>
        <w:t xml:space="preserve"> ngày kể từ ngày nhận được yêu cầu hợp lý bằng văn bản của Bên B, Bên A cung cấp cho Bên B thông tin về việc bố trí nguồn vốn để thanh toán cho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83298428"/>
            <w:bookmarkStart w:id="81" w:name="_Toc283735878"/>
            <w:bookmarkStart w:id="82" w:name="_Toc273427131"/>
            <w:bookmarkStart w:id="83" w:name="_Toc283736676"/>
            <w:bookmarkStart w:id="84" w:name="_Toc283736557"/>
            <w:bookmarkStart w:id="85" w:name="_Toc273003011"/>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8"/>
        <w:gridCol w:w="1702"/>
        <w:gridCol w:w="7388"/>
      </w:tblGrid>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52"/>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52"/>
      <w:r>
        <w:commentReference w:id="52"/>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7"/>
        <w:gridCol w:w="1153"/>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8"/>
        <w:gridCol w:w="2582"/>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7"/>
        <w:gridCol w:w="2803"/>
        <w:gridCol w:w="5672"/>
      </w:tblGrid>
      <w:tr>
        <w:trPr>
          <w:tblHeader w:val="true"/>
          <w:cantSplit w:val="true"/>
        </w:trPr>
        <w:tc>
          <w:tcPr>
            <w:tcW w:w="5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fals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1" w:author="VNCN E&amp;C - Thương thảo 17/10" w:date="2026-10-19T06:36:43Z" w:initials="TT">
    <w:p>
      <w:pPr>
        <w:overflowPunct w:val="true"/>
        <w:rPr/>
      </w:pPr>
      <w:r>
        <w:rPr>
          <w:rFonts w:ascii="Liberation Serif" w:hAnsi="Liberation Serif" w:eastAsia="DejaVu Sans" w:cs="DejaVu Sans"/>
          <w:color w:val="000000"/>
          <w:sz w:val="20"/>
          <w:szCs w:val="20"/>
          <w:lang w:val="en-US" w:eastAsia="en-US" w:bidi="en-US"/>
        </w:rPr>
        <w:t>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2" w:author="VNCN E&amp;C - Đề xuất theo FIDIC" w:date="2026-10-19T06:37:05Z" w:initials="FD">
    <w:p>
      <w:pPr>
        <w:overflowPunct w:val="false"/>
        <w:rPr/>
      </w:pPr>
      <w:r>
        <w:rPr>
          <w:rFonts w:ascii="Liberation Serif" w:hAnsi="Liberation Serif" w:eastAsia="DejaVu Sans" w:cs="DejaVu Sans"/>
          <w:color w:val="000000"/>
          <w:sz w:val="20"/>
          <w:szCs w:val="20"/>
          <w:lang w:val="en-US" w:eastAsia="en-US" w:bidi="en-US"/>
        </w:rPr>
        <w:t>FIDIC 4.4: nhà thầu không được giao lại một phần công việc khi chưa có chấp thuận (trừ nhà cung cấp vật tư). Phù hợp quy định về nhà thầu phụ trong pháp luật hợp đồng xây dựng.</w:t>
      </w:r>
    </w:p>
  </w:comment>
  <w:comment w:id="3" w:author="VNCN E&amp;C - Thương thảo 17/10" w:date="2026-10-19T06:36:38Z" w:initials="TT">
    <w:p>
      <w:pPr>
        <w:overflowPunct w:val="tru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4" w:author="Ban Kinh tế &amp; Quản lý Hợp đồng" w:date="2026-10-14T17:08:00Z" w:initials="BKt&amp;QlHđ">
    <w:p>
      <w:pPr>
        <w:overflowPunct w:val="fals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5" w:author="Ban Kinh tế &amp; Quản lý Hợp đồng" w:date="2026-10-14T17:12:00Z" w:initials="BKt&amp;QlHđ">
    <w:p>
      <w:pPr>
        <w:overflowPunct w:val="false"/>
        <w:rPr/>
      </w:pPr>
      <w:r>
        <w:rPr>
          <w:rFonts w:ascii="Liberation Serif" w:hAnsi="Liberation Serif" w:eastAsia="DejaVu Sans" w:cs="DejaVu Sans"/>
          <w:sz w:val="24"/>
          <w:lang w:val="en-US" w:eastAsia="en-US" w:bidi="en-US"/>
        </w:rPr>
        <w:t>Đã tham chiếu ý trên ở Biểu 1 (Chi tiết giá HĐ)</w:t>
      </w:r>
    </w:p>
  </w:comment>
  <w:comment w:id="6" w:author="VNCN E&amp;C - Thương thảo 17/10" w:date="2026-10-19T06:36:38Z" w:initials="TT">
    <w:p>
      <w:pPr>
        <w:overflowPunct w:val="tru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7" w:author="VNCN E&amp;C - Thương thảo 17/10" w:date="2026-10-19T06:36:38Z" w:initials="TT">
    <w:p>
      <w:pPr>
        <w:overflowPunct w:val="tru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8" w:author="VNCN E&amp;C - Thương thảo 17/10" w:date="2026-10-19T06:36:38Z" w:initials="TT">
    <w:p>
      <w:pPr>
        <w:overflowPunct w:val="tru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9" w:author="VNCN E&amp;C - Đề xuất theo FIDIC" w:date="2026-10-19T06:37:05Z" w:initials="FD">
    <w:p>
      <w:pPr>
        <w:overflowPunct w:val="false"/>
        <w:rPr/>
      </w:pPr>
      <w:r>
        <w:rPr>
          <w:rFonts w:ascii="Liberation Serif" w:hAnsi="Liberation Serif" w:eastAsia="DejaVu Sans" w:cs="DejaVu Sans"/>
          <w:color w:val="000000"/>
          <w:sz w:val="20"/>
          <w:szCs w:val="20"/>
          <w:lang w:val="en-US" w:eastAsia="en-US" w:bidi="en-US"/>
        </w:rPr>
        <w:t>FIDIC 8.1: ngày khởi công do bên giao thầu thông báo trước tối thiểu 07 ngày; FIDIC 2.1: quyền tiếp cận công trường theo giai đoạn phù hợp tiến độ. Bỏ điều kiện “bàn giao toàn bộ mặt bằng” vì mâu thuẫn với việc bàn giao hố đào theo giai đoạn (4.1.2(iv), 11.2) và có thể làm ngày bắt đầu treo vô thời hạn.</w:t>
      </w:r>
    </w:p>
  </w:comment>
  <w:comment w:id="10" w:author="VNCN E&amp;C - Thương thảo 17/10" w:date="2026-10-19T06:36:38Z" w:initials="TT">
    <w:p>
      <w:pPr>
        <w:overflowPunct w:val="tru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11"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2"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3" w:author="Ban Kinh tế &amp; Quản lý Hợp đồng" w:date="2026-10-15T09:02:00Z" w:initials="BKt&amp;QlHđ">
    <w:p>
      <w:pPr>
        <w:overflowPunct w:val="fals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4" w:author="Ban Kinh tế &amp; Quản lý Hợp đồng" w:date="2026-10-15T18:09:00Z" w:initials="BKt&amp;QlHđ">
    <w:p>
      <w:pPr>
        <w:overflowPunct w:val="fals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5" w:author="VNCN E&amp;C - Thương thảo 17/10" w:date="2026-10-19T06:36:43Z" w:initials="TT">
    <w:p>
      <w:pPr>
        <w:overflowPunct w:val="tru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theo Hợp đồng thầu chính.</w:t>
      </w:r>
    </w:p>
  </w:comment>
  <w:comment w:id="16" w:author="VNCN E&amp;C - Đề xuất theo FIDIC" w:date="2026-10-19T06:37:05Z" w:initials="FD">
    <w:p>
      <w:pPr>
        <w:overflowPunct w:val="false"/>
        <w:rPr/>
      </w:pPr>
      <w:r>
        <w:rPr>
          <w:rFonts w:ascii="Liberation Serif" w:hAnsi="Liberation Serif" w:eastAsia="DejaVu Sans" w:cs="DejaVu Sans"/>
          <w:color w:val="000000"/>
          <w:sz w:val="20"/>
          <w:szCs w:val="20"/>
          <w:lang w:val="en-US" w:eastAsia="en-US" w:bidi="en-US"/>
        </w:rPr>
        <w:t>FIDIC 11.1, 11.4: nhà thầu sửa sai sót trong thời hạn hợp lý, nếu không bên giao thầu được tự sửa và thu chi phí. 03 ngày để khớp cam kết của Bên A với Chủ đầu tư.</w:t>
      </w:r>
    </w:p>
  </w:comment>
  <w:comment w:id="17" w:author="VNCN E&amp;C - Thương thảo 17/10" w:date="2026-10-19T06:36:43Z" w:initials="TT">
    <w:p>
      <w:pPr>
        <w:overflowPunct w:val="true"/>
        <w:rPr/>
      </w:pPr>
      <w:r>
        <w:rPr>
          <w:rFonts w:ascii="Liberation Serif" w:hAnsi="Liberation Serif" w:eastAsia="DejaVu Sans" w:cs="DejaVu Sans"/>
          <w:color w:val="000000"/>
          <w:sz w:val="20"/>
          <w:szCs w:val="20"/>
          <w:lang w:val="en-US" w:eastAsia="en-US" w:bidi="en-US"/>
        </w:rPr>
        <w:t>Hợp đồng đơn giá cố định, không áp dụng trượt giá (bỏ cơ chế điều chỉnh giá thép, bê tông tại 15.3 theo ý kiến Bên A).</w:t>
      </w:r>
    </w:p>
  </w:comment>
  <w:comment w:id="19" w:author="Ban Kinh tế &amp; Quản lý Hợp đồng" w:date="2026-10-15T18:16:00Z" w:initials="BKt&amp;QlHđ">
    <w:p>
      <w:pPr>
        <w:overflowPunct w:val="false"/>
        <w:rPr/>
      </w:pPr>
      <w:r>
        <w:rPr>
          <w:rFonts w:ascii="Liberation Serif" w:hAnsi="Liberation Serif" w:eastAsia="DejaVu Sans" w:cs="DejaVu Sans"/>
          <w:sz w:val="24"/>
          <w:lang w:val="en-US" w:eastAsia="en-US" w:bidi="en-US"/>
        </w:rPr>
        <w:t>Chờ Cập nhật lại số liệu thầu sau khi thống nhất phạm vi</w:t>
      </w:r>
    </w:p>
  </w:comment>
  <w:comment w:id="18"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20"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21" w:author="Ban Kinh tế &amp; Quản lý Hợp đồng" w:date="2026-10-15T09:44:00Z" w:initials="BKt&amp;QlHđ">
    <w:p>
      <w:pPr>
        <w:overflowPunct w:val="false"/>
        <w:rPr/>
      </w:pPr>
      <w:r>
        <w:rPr>
          <w:rFonts w:ascii="Liberation Serif" w:hAnsi="Liberation Serif" w:eastAsia="DejaVu Sans" w:cs="DejaVu Sans"/>
          <w:sz w:val="24"/>
          <w:lang w:val="en-US" w:eastAsia="en-US" w:bidi="en-US"/>
        </w:rPr>
        <w:t>Phạm vi quan trắc của Tổng thầu</w:t>
      </w:r>
    </w:p>
  </w:comment>
  <w:comment w:id="22" w:author="Ban Kinh tế &amp; Quản lý Hợp đồng" w:date="2026-10-15T09:45:00Z" w:initials="BKt&amp;QlHđ">
    <w:p>
      <w:pPr>
        <w:overflowPunct w:val="false"/>
        <w:rPr/>
      </w:pPr>
      <w:r>
        <w:rPr>
          <w:rFonts w:ascii="Liberation Serif" w:hAnsi="Liberation Serif" w:eastAsia="DejaVu Sans" w:cs="DejaVu Sans"/>
          <w:sz w:val="24"/>
          <w:lang w:val="en-US" w:eastAsia="en-US" w:bidi="en-US"/>
        </w:rPr>
        <w:t>HĐ TVGS với CĐT không phải với Tổng thầu</w:t>
      </w:r>
    </w:p>
  </w:comment>
  <w:comment w:id="23"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4" w:author="VNCN E&amp;C - Thương thảo 17/10" w:date="2026-10-19T06:36:39Z" w:initials="TT">
    <w:p>
      <w:pPr>
        <w:overflowPunct w:val="tru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5" w:author="VNCN E&amp;C - Thương thảo 17/10" w:date="2026-10-19T06:36:40Z" w:initials="TT">
    <w:p>
      <w:pPr>
        <w:overflowPunct w:val="tru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6" w:author="VNCN E&amp;C - Thương thảo 17/10" w:date="2026-10-19T06:36:40Z" w:initials="TT">
    <w:p>
      <w:pPr>
        <w:overflowPunct w:val="tru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7" w:author="VNCN E&amp;C - Thương thảo 17/10" w:date="2026-10-19T06:36:40Z" w:initials="TT">
    <w:p>
      <w:pPr>
        <w:overflowPunct w:val="tru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8" w:author="VNCN E&amp;C - Thương thảo 17/10" w:date="2026-10-19T06:36:40Z" w:initials="TT">
    <w:p>
      <w:pPr>
        <w:overflowPunct w:val="tru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9" w:author="VNCN E&amp;C - Thương thảo 17/10" w:date="2026-10-19T06:36:40Z" w:initials="TT">
    <w:p>
      <w:pPr>
        <w:overflowPunct w:val="tru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30"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31"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32" w:author="VNCN E&amp;C - Đề xuất theo FIDIC" w:date="2026-10-19T06:37:06Z" w:initials="FD">
    <w:p>
      <w:pPr>
        <w:overflowPunct w:val="false"/>
        <w:rPr/>
      </w:pPr>
      <w:r>
        <w:rPr>
          <w:rFonts w:ascii="Liberation Serif" w:hAnsi="Liberation Serif" w:eastAsia="DejaVu Sans" w:cs="DejaVu Sans"/>
          <w:color w:val="000000"/>
          <w:sz w:val="20"/>
          <w:szCs w:val="20"/>
          <w:lang w:val="en-US" w:eastAsia="en-US" w:bidi="en-US"/>
        </w:rPr>
        <w:t>FIDIC 8.4 (2017: 8.5): chỉ gia hạn theo ảnh hưởng thực tế đến thời hạn hoàn thành; thời tiết chỉ khi “bất lợi bất thường”. FIDIC 20.1 (2017: 20.2): thông báo trong 28 ngày, quá hạn mất quyền (đề xuất 14 ngày). Bỏ “chậm phê duyệt đơn giá phát sinh” (đã có cơ chế đơn giá tạm tính tại 15.4) và “các trường hợp khác”; chậm thanh toán chỉ được gia hạn khi Bên B thực tế tạm dừng (FIDIC 16.1).</w:t>
      </w:r>
    </w:p>
  </w:comment>
  <w:comment w:id="33"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34" w:author="VNCN E&amp;C - Đề xuất theo FIDIC" w:date="2026-10-19T06:37:06Z" w:initials="FD">
    <w:p>
      <w:pPr>
        <w:overflowPunct w:val="false"/>
        <w:rPr/>
      </w:pPr>
      <w:r>
        <w:rPr>
          <w:rFonts w:ascii="Liberation Serif" w:hAnsi="Liberation Serif" w:eastAsia="DejaVu Sans" w:cs="DejaVu Sans"/>
          <w:color w:val="000000"/>
          <w:sz w:val="20"/>
          <w:szCs w:val="20"/>
          <w:lang w:val="en-US" w:eastAsia="en-US" w:bidi="en-US"/>
        </w:rPr>
        <w:t>FIDIC 2017 3.7: quá hạn không có ý kiến thì coi như chưa chấp thuận (deemed rejection), ngược với cơ chế “im lặng là chấp thuận” của PH; Điều 393 BLDS. FIDIC 13.3, 12.3: nhà thầu phải thực hiện thay đổi theo chỉ thị, thanh toán tạm theo đơn giá tạm tính khi chưa thống nhất. FIDIC 4.1: biện pháp, công trình tạm thuộc trách nhiệm nhà thầu – thay đổi do nhà thầu tự chọn không phải phát sinh.</w:t>
      </w:r>
    </w:p>
  </w:comment>
  <w:comment w:id="36"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5" w:author="VNCN E&amp;C - Đề xuất theo FIDIC" w:date="2026-10-19T06:37:06Z" w:initials="FD">
    <w:p>
      <w:pPr>
        <w:overflowPunct w:val="false"/>
        <w:rPr/>
      </w:pPr>
      <w:r>
        <w:rPr>
          <w:rFonts w:ascii="Liberation Serif" w:hAnsi="Liberation Serif" w:eastAsia="DejaVu Sans" w:cs="DejaVu Sans"/>
          <w:color w:val="000000"/>
          <w:sz w:val="20"/>
          <w:szCs w:val="20"/>
          <w:lang w:val="en-US" w:eastAsia="en-US" w:bidi="en-US"/>
        </w:rPr>
        <w:t>FIDIC 14.6: thời hạn xác nhận thanh toán 28 ngày kể từ khi nhận hồ sơ; FIDIC 16.1: nhà thầu chỉ được tạm dừng sau khi thông báo trước (21 ngày). Bỏ ngoại lệ “không cần báo trước khi Bên A chậm thanh toán”.</w:t>
      </w:r>
    </w:p>
  </w:comment>
  <w:comment w:id="37"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8" w:author="VNCN E&amp;C - Thương thảo 17/10" w:date="2026-10-19T06:36:41Z" w:initials="TT">
    <w:p>
      <w:pPr>
        <w:overflowPunct w:val="tru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giữ nguyên căn cứ Hợp đồng thầu chính bị chấm dứt.</w:t>
      </w:r>
    </w:p>
  </w:comment>
  <w:comment w:id="39" w:author="VNCN E&amp;C - Đề xuất theo FIDIC" w:date="2026-10-19T06:37:06Z" w:initials="FD">
    <w:p>
      <w:pPr>
        <w:overflowPunct w:val="false"/>
        <w:rPr/>
      </w:pPr>
      <w:r>
        <w:rPr>
          <w:rFonts w:ascii="Liberation Serif" w:hAnsi="Liberation Serif" w:eastAsia="DejaVu Sans" w:cs="DejaVu Sans"/>
          <w:color w:val="000000"/>
          <w:sz w:val="20"/>
          <w:szCs w:val="20"/>
          <w:lang w:val="en-US" w:eastAsia="en-US" w:bidi="en-US"/>
        </w:rPr>
        <w:t>FIDIC 15.5: bên giao thầu được chấm dứt hợp đồng vì sự thuận tiện, thanh toán phần đã thực hiện và chi phí giải thể. Bảo vệ Bên A trước rủi ro từ Chủ đầu tư.</w:t>
      </w:r>
    </w:p>
  </w:comment>
  <w:comment w:id="40" w:author="VNCN E&amp;C - Thương thảo 17/10" w:date="2026-10-19T06:36:42Z" w:initials="TT">
    <w:p>
      <w:pPr>
        <w:overflowPunct w:val="tru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41" w:author="VNCN E&amp;C - Thương thảo 17/10" w:date="2026-10-19T06:36:42Z" w:initials="TT">
    <w:p>
      <w:pPr>
        <w:overflowPunct w:val="tru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42" w:author="VNCN E&amp;C - Đề xuất theo FIDIC" w:date="2026-10-19T06:37:06Z" w:initials="FD">
    <w:p>
      <w:pPr>
        <w:overflowPunct w:val="false"/>
        <w:rPr/>
      </w:pPr>
      <w:r>
        <w:rPr>
          <w:rFonts w:ascii="Liberation Serif" w:hAnsi="Liberation Serif" w:eastAsia="DejaVu Sans" w:cs="DejaVu Sans"/>
          <w:color w:val="000000"/>
          <w:sz w:val="20"/>
          <w:szCs w:val="20"/>
          <w:lang w:val="en-US" w:eastAsia="en-US" w:bidi="en-US"/>
        </w:rPr>
        <w:t>FIDIC 15.1, 15.2: không khắc phục theo “thông báo khắc phục” là căn cứ chấm dứt – thay thế điều khoản bao trùm đã bị bỏ, khách quan hơn căn cứ “nhắc nhở lần thứ ba”.</w:t>
      </w:r>
    </w:p>
  </w:comment>
  <w:comment w:id="43" w:author="VNCN E&amp;C - Thương thảo 17/10" w:date="2026-10-19T06:36:42Z" w:initials="TT">
    <w:p>
      <w:pPr>
        <w:overflowPunct w:val="tru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44" w:author="VNCN E&amp;C - Đề xuất theo FIDIC" w:date="2026-10-19T06:37:07Z" w:initials="FD">
    <w:p>
      <w:pPr>
        <w:overflowPunct w:val="false"/>
        <w:rPr/>
      </w:pPr>
      <w:r>
        <w:rPr>
          <w:rFonts w:ascii="Liberation Serif" w:hAnsi="Liberation Serif" w:eastAsia="DejaVu Sans" w:cs="DejaVu Sans"/>
          <w:color w:val="000000"/>
          <w:sz w:val="20"/>
          <w:szCs w:val="20"/>
          <w:lang w:val="en-US" w:eastAsia="en-US" w:bidi="en-US"/>
        </w:rPr>
        <w:t>FIDIC 8.11 (2017: 8.12): chỉ được chấm dứt khi tạm dừng kéo dài quá 84 ngày. 60 ngày cho chậm thanh toán đã tốt hơn FIDIC (42 ngày) cho Bên A – giữ nguyên.</w:t>
      </w:r>
    </w:p>
  </w:comment>
  <w:comment w:id="46" w:author="VNCN E&amp;C - Thương thảo 17/10" w:date="2026-10-19T06:36:42Z" w:initials="TT">
    <w:p>
      <w:pPr>
        <w:overflowPunct w:val="true"/>
        <w:rPr/>
      </w:pPr>
      <w:r>
        <w:rPr>
          <w:rFonts w:ascii="Liberation Serif" w:hAnsi="Liberation Serif" w:eastAsia="DejaVu Sans" w:cs="DejaVu Sans"/>
          <w:color w:val="000000"/>
          <w:sz w:val="20"/>
          <w:szCs w:val="20"/>
          <w:lang w:val="en-US" w:eastAsia="en-US" w:bidi="en-US"/>
        </w:rPr>
        <w:t>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45" w:author="VNCN E&amp;C - Đề xuất theo FIDIC" w:date="2026-10-19T06:37:07Z" w:initials="FD">
    <w:p>
      <w:pPr>
        <w:overflowPunct w:val="false"/>
        <w:rPr/>
      </w:pPr>
      <w:r>
        <w:rPr>
          <w:rFonts w:ascii="Liberation Serif" w:hAnsi="Liberation Serif" w:eastAsia="DejaVu Sans" w:cs="DejaVu Sans"/>
          <w:color w:val="000000"/>
          <w:sz w:val="20"/>
          <w:szCs w:val="20"/>
          <w:lang w:val="en-US" w:eastAsia="en-US" w:bidi="en-US"/>
        </w:rPr>
        <w:t>FIDIC 8.7 (2017: 8.8): bồi thường chậm tiến độ có trần nhưng không loại trừ quyền chấm dứt. Điều 302, 307 Luật Thương mại: bồi thường thiệt hại thực tế không bị giới hạn bởi trần phạt – bổ sung câu bảo vệ trong trường hợp trần 10% bị xem xét lại.</w:t>
      </w:r>
    </w:p>
  </w:comment>
  <w:comment w:id="47" w:author="VNCN E&amp;C - Thương thảo 17/10" w:date="2026-10-19T06:36:42Z" w:initials="TT">
    <w:p>
      <w:pPr>
        <w:overflowPunct w:val="tru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48" w:author="VNCN E&amp;C - Thương thảo 17/10" w:date="2026-10-19T06:36:43Z" w:initials="TT">
    <w:p>
      <w:pPr>
        <w:overflowPunct w:val="tru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49" w:author="VNCN E&amp;C - Đề xuất theo FIDIC" w:date="2026-10-19T06:37:07Z" w:initials="FD">
    <w:p>
      <w:pPr>
        <w:overflowPunct w:val="false"/>
        <w:rPr/>
      </w:pPr>
      <w:r>
        <w:rPr>
          <w:rFonts w:ascii="Liberation Serif" w:hAnsi="Liberation Serif" w:eastAsia="DejaVu Sans" w:cs="DejaVu Sans"/>
          <w:color w:val="000000"/>
          <w:sz w:val="20"/>
          <w:szCs w:val="20"/>
          <w:lang w:val="en-US" w:eastAsia="en-US" w:bidi="en-US"/>
        </w:rPr>
        <w:t>Hợp đồng không quy định lãi không có nghĩa là không phải trả lãi: theo Điều 357, 468 BLDS và Điều 306 Luật Thương mại, chậm trả tiền vẫn phải trả lãi theo mức luật định (thường cao hơn lãi tiền gửi). FIDIC 14.8 cũng có lãi chậm thanh toán. Chủ động thỏa thuận mức thấp, có điều kiện loại trừ, có lợi hơn cho Bên A.</w:t>
      </w:r>
    </w:p>
  </w:comment>
  <w:comment w:id="51" w:author="VNCN E&amp;C - Thương thảo 17/10" w:date="2026-10-19T06:36:43Z" w:initials="TT">
    <w:p>
      <w:pPr>
        <w:overflowPunct w:val="tru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50" w:author="VNCN E&amp;C - Đề xuất theo FIDIC" w:date="2026-10-19T06:37:07Z" w:initials="FD">
    <w:p>
      <w:pPr>
        <w:overflowPunct w:val="false"/>
        <w:rPr/>
      </w:pPr>
      <w:r>
        <w:rPr>
          <w:rFonts w:ascii="Liberation Serif" w:hAnsi="Liberation Serif" w:eastAsia="DejaVu Sans" w:cs="DejaVu Sans"/>
          <w:color w:val="000000"/>
          <w:sz w:val="20"/>
          <w:szCs w:val="20"/>
          <w:lang w:val="en-US" w:eastAsia="en-US" w:bidi="en-US"/>
        </w:rPr>
        <w:t>FIDIC 2.4: bên giao thầu chỉ có nghĩa vụ cung cấp bằng chứng hợp lý về bố trí tài chính, không phải bảo lãnh ngân hàng. Thay thế bảo lãnh thanh toán 15% (~32 tỷ đồng). Phương án lùi nếu PH bắt buộc bảo lãnh: giá trị không quá một kỳ thanh toán bình quân, phát hành sau khi Bên B nộp bảo lãnh thực hiện và hoàn thành huy động, giảm dần theo giá trị đã thanh toán.</w:t>
      </w:r>
    </w:p>
  </w:comment>
  <w:comment w:id="52" w:author="Ban Kinh tế &amp; Quản lý Hợp đồng" w:date="2026-10-15T18:50:00Z" w:initials="BKt&amp;QlHđ">
    <w:p>
      <w:pPr>
        <w:overflowPunct w:val="false"/>
        <w:rPr/>
      </w:pPr>
      <w:r>
        <w:rPr>
          <w:rFonts w:ascii="Liberation Serif" w:hAnsi="Liberation Serif" w:eastAsia="DejaVu Sans" w:cs="DejaVu Sans"/>
          <w:sz w:val="24"/>
          <w:lang w:val="en-US" w:eastAsia="en-US" w:bidi="en-US"/>
        </w:rPr>
        <w:t>ĐỀ XUẤT THEO BẢNG EXCEL RIÊNG</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58</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58</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60</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85</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2026-10-19T06:37:14Z</dcterms:modified>
  <cp:revision>254</cp:revision>
  <dc:subject/>
  <dc:title/>
</cp:coreProperties>
</file>

<file path=docProps/custom.xml><?xml version="1.0" encoding="utf-8"?>
<Properties xmlns="http://schemas.openxmlformats.org/officeDocument/2006/custom-properties" xmlns:vt="http://schemas.openxmlformats.org/officeDocument/2006/docPropsVTypes"/>
</file>