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312"/>
        <w:gridCol w:w="2982"/>
        <w:gridCol w:w="631"/>
        <w:gridCol w:w="1108"/>
        <w:gridCol w:w="2810"/>
      </w:tblGrid>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8"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10"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3"/>
        <w:gridCol w:w="291"/>
        <w:gridCol w:w="3146"/>
        <w:gridCol w:w="439"/>
        <w:gridCol w:w="1511"/>
        <w:gridCol w:w="2269"/>
      </w:tblGrid>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5875"/>
      <w:bookmarkStart w:id="1" w:name="_Toc269221776"/>
      <w:bookmarkStart w:id="2" w:name="_Toc179249784"/>
      <w:bookmarkStart w:id="3" w:name="_Toc180807089"/>
      <w:bookmarkStart w:id="4" w:name="_Toc181075467"/>
      <w:bookmarkStart w:id="5" w:name="_Toc283736673"/>
      <w:bookmarkStart w:id="6" w:name="_Toc283736554"/>
      <w:bookmarkStart w:id="7" w:name="_Toc181075441"/>
      <w:bookmarkStart w:id="8" w:name="_Toc183486577"/>
      <w:bookmarkStart w:id="9" w:name="_Toc269221361"/>
      <w:bookmarkStart w:id="10" w:name="_Toc183486575"/>
      <w:bookmarkStart w:id="11" w:name="_Toc273427126"/>
      <w:bookmarkStart w:id="12" w:name="_Toc283298425"/>
      <w:bookmarkStart w:id="13" w:name="_Toc272842163"/>
      <w:bookmarkStart w:id="14" w:name="_Toc272318672"/>
      <w:bookmarkStart w:id="15" w:name="_Toc273003007"/>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81075446"/>
      <w:bookmarkStart w:id="17" w:name="_Toc180807067"/>
      <w:bookmarkStart w:id="18" w:name="_Toc179249741"/>
      <w:bookmarkStart w:id="19" w:name="_Toc273427102"/>
      <w:r>
        <w:rPr>
          <w:rStyle w:val="StyleHeading3BoldCharCharCharCharCharCharCharCharCharCharCharCharCharCharChar"/>
          <w:rFonts w:ascii="Times New Roman" w:hAnsi="Times New Roman"/>
          <w:sz w:val="26"/>
          <w:szCs w:val="26"/>
          <w:lang w:val="nl-NL"/>
        </w:rPr>
        <w:t>1.1. Chủ đầu tư</w:t>
      </w:r>
      <w:bookmarkEnd w:id="17"/>
      <w:bookmarkEnd w:id="18"/>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79249742"/>
      <w:bookmarkStart w:id="21" w:name="_Toc180807068"/>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80807069"/>
      <w:bookmarkStart w:id="23" w:name="_Toc181075447"/>
      <w:bookmarkStart w:id="24" w:name="_Toc273427103"/>
      <w:bookmarkStart w:id="25" w:name="_Toc179249743"/>
      <w:bookmarkEnd w:id="16"/>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0807072"/>
      <w:bookmarkStart w:id="27" w:name="_Toc181075450"/>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Fonts w:ascii="Times New Roman" w:hAnsi="Times New Roman"/>
          <w:sz w:val="26"/>
          <w:szCs w:val="26"/>
          <w:lang w:val="nl-NL"/>
        </w:rPr>
        <w:commentReference w:id="0"/>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1.13.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273427113"/>
      <w:bookmarkStart w:id="35" w:name="_Toc179249752"/>
      <w:bookmarkStart w:id="36" w:name="_Toc181075455"/>
      <w:bookmarkStart w:id="37" w:name="_Toc180807077"/>
      <w:r>
        <w:rPr>
          <w:rStyle w:val="StyleHeading3BoldCharCharCharCharCharCharCharCharCharCharCharCharCharCharChar"/>
          <w:rFonts w:ascii="Times New Roman" w:hAnsi="Times New Roman"/>
          <w:sz w:val="26"/>
          <w:szCs w:val="26"/>
          <w:lang w:val="nl-NL"/>
        </w:rPr>
        <w:t>1.14.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1.15.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80807079"/>
      <w:bookmarkStart w:id="39" w:name="_Toc179249765"/>
      <w:bookmarkStart w:id="40" w:name="_Toc181075457"/>
      <w:bookmarkStart w:id="41" w:name="_Toc273427115"/>
      <w:bookmarkStart w:id="42" w:name="_Toc179249782"/>
      <w:bookmarkEnd w:id="42"/>
      <w:r>
        <w:rPr>
          <w:rStyle w:val="StyleHeading3BoldCharCharCharCharCharCharCharCharCharCharCharCharCharCharChar"/>
          <w:rFonts w:ascii="Times New Roman" w:hAnsi="Times New Roman"/>
          <w:sz w:val="26"/>
          <w:szCs w:val="26"/>
          <w:lang w:val="nl-NL"/>
        </w:rPr>
        <w:t xml:space="preserve">1.16. Thiết bị của </w:t>
      </w:r>
      <w:bookmarkEnd w:id="38"/>
      <w:bookmarkEnd w:id="39"/>
      <w:bookmarkEnd w:id="40"/>
      <w:bookmarkEnd w:id="41"/>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273427119"/>
      <w:bookmarkStart w:id="44" w:name="_Toc179249775"/>
      <w:bookmarkStart w:id="45" w:name="_Toc180807083"/>
      <w:bookmarkStart w:id="46" w:name="_Toc181075461"/>
      <w:bookmarkEnd w:id="44"/>
      <w:r>
        <w:rPr>
          <w:rStyle w:val="StyleHeading3BoldCharCharCharCharCharCharCharCharCharCharCharCharCharCharChar"/>
          <w:rFonts w:ascii="Times New Roman" w:hAnsi="Times New Roman"/>
          <w:sz w:val="26"/>
          <w:szCs w:val="26"/>
          <w:lang w:val="nl-NL"/>
        </w:rPr>
        <w:t xml:space="preserve">1.17. Công trình: </w:t>
      </w:r>
      <w:bookmarkEnd w:id="43"/>
      <w:bookmarkEnd w:id="45"/>
      <w:bookmarkEnd w:id="46"/>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1.18.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commentReference w:id="1"/>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1.19.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1.20.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yêu cầu của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1075463"/>
      <w:bookmarkStart w:id="48" w:name="_Toc273427121"/>
      <w:bookmarkStart w:id="49" w:name="_Toc180807085"/>
      <w:bookmarkStart w:id="50" w:name="_Toc179249775_Copy_1"/>
      <w:bookmarkStart w:id="51" w:name="_Toc179249776"/>
      <w:bookmarkEnd w:id="50"/>
      <w:r>
        <w:rPr>
          <w:rStyle w:val="StyleHeading3BoldCharCharCharCharCharCharCharCharCharCharCharCharCharCharChar"/>
          <w:rFonts w:ascii="Times New Roman" w:hAnsi="Times New Roman"/>
          <w:sz w:val="26"/>
          <w:szCs w:val="26"/>
          <w:lang w:val="nl-NL"/>
        </w:rPr>
        <w:t>1.21. Rủi ro và bất khả kháng</w:t>
      </w:r>
      <w:bookmarkEnd w:id="47"/>
      <w:bookmarkEnd w:id="48"/>
      <w:bookmarkEnd w:id="49"/>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179249777"/>
      <w:bookmarkStart w:id="53" w:name="_Toc273427122"/>
      <w:bookmarkStart w:id="54" w:name="_Toc181075464"/>
      <w:bookmarkStart w:id="55" w:name="_Toc180807086"/>
      <w:r>
        <w:rPr>
          <w:rStyle w:val="StyleHeading3BoldCharCharCharCharCharCharCharCharCharCharCharCharCharCharChar"/>
          <w:rFonts w:ascii="Times New Roman" w:hAnsi="Times New Roman"/>
          <w:sz w:val="26"/>
          <w:szCs w:val="26"/>
          <w:lang w:val="nl-NL"/>
        </w:rPr>
        <w:t>1.22.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180807087"/>
      <w:bookmarkStart w:id="57" w:name="_Toc179249779"/>
      <w:bookmarkStart w:id="58" w:name="_Toc273427123"/>
      <w:bookmarkStart w:id="59" w:name="_Toc181075465"/>
      <w:r>
        <w:rPr>
          <w:rStyle w:val="StyleHeading3BoldCharCharCharCharCharCharCharCharCharCharCharCharCharCharChar"/>
          <w:rFonts w:ascii="Times New Roman" w:hAnsi="Times New Roman"/>
          <w:sz w:val="26"/>
          <w:szCs w:val="26"/>
          <w:lang w:val="nl-NL"/>
        </w:rPr>
        <w:t>1.23.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1.24.</w:t>
      </w:r>
      <w:r>
        <w:rPr>
          <w:rFonts w:ascii="Times New Roman" w:hAnsi="Times New Roman"/>
          <w:sz w:val="26"/>
          <w:szCs w:val="26"/>
          <w:lang w:val="nl-NL"/>
        </w:rPr>
        <w:t xml:space="preserve"> Các từ ngữ khác chưa được định nghĩa ở Điều này sẽ được hiểu theo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283736554_Copy_1"/>
      <w:bookmarkStart w:id="61" w:name="_Toc181075467_Copy_1"/>
      <w:bookmarkStart w:id="62" w:name="_Toc183486577_Copy_1"/>
      <w:bookmarkStart w:id="63" w:name="_Toc180807089_Copy_1"/>
      <w:bookmarkStart w:id="64" w:name="_Toc179249784_Copy_1"/>
      <w:bookmarkStart w:id="65" w:name="_Toc283736673_Copy_1"/>
      <w:bookmarkStart w:id="66" w:name="_Toc269221776_Copy_1"/>
      <w:bookmarkStart w:id="67" w:name="_Toc183486575_Copy_1"/>
      <w:bookmarkStart w:id="68" w:name="_Toc181075441_Copy_1"/>
      <w:bookmarkStart w:id="69" w:name="_Toc269221361_Copy_1"/>
      <w:bookmarkStart w:id="70" w:name="_Toc272318672_Copy_1"/>
      <w:bookmarkStart w:id="71" w:name="_Toc283298425_Copy_1"/>
      <w:bookmarkStart w:id="72" w:name="_Toc272842163_Copy_1"/>
      <w:bookmarkStart w:id="73" w:name="_Toc273003007_Copy_1"/>
      <w:bookmarkStart w:id="74" w:name="_Toc283735875_Copy_1"/>
      <w:bookmarkStart w:id="75" w:name="_Toc179249782_Copy_1"/>
      <w:bookmarkStart w:id="76" w:name="_Toc273427126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3"/>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4"/>
      <w:r>
        <w:rPr>
          <w:rFonts w:ascii="Times New Roman" w:hAnsi="Times New Roman"/>
          <w:sz w:val="26"/>
          <w:szCs w:val="26"/>
        </w:rPr>
        <w:t>.</w:t>
      </w:r>
      <w:commentRangeEnd w:id="4"/>
      <w:r>
        <w:commentReference w:id="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5"/>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5"/>
      <w:r>
        <w:commentReference w:id="5"/>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sz w:val="26"/>
          <w:szCs w:val="26"/>
        </w:rPr>
        <w:commentReference w:id="6"/>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7"/>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7"/>
      <w:r>
        <w:commentReference w:id="7"/>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8"/>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8"/>
      <w:r>
        <w:commentReference w:id="8"/>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rFonts w:ascii="Times New Roman" w:hAnsi="Times New Roman"/>
          <w:b/>
          <w:sz w:val="26"/>
          <w:szCs w:val="26"/>
        </w:rPr>
        <w:commentReference w:id="9"/>
      </w:r>
    </w:p>
    <w:p>
      <w:pPr>
        <w:pStyle w:val="Normal"/>
        <w:spacing w:lineRule="auto" w:line="276" w:before="0" w:after="120"/>
        <w:jc w:val="both"/>
        <w:rPr>
          <w:rFonts w:ascii="Times New Roman" w:hAnsi="Times New Roman"/>
          <w:b/>
          <w:bCs/>
          <w:sz w:val="26"/>
          <w:szCs w:val="26"/>
        </w:rPr>
      </w:pPr>
      <w:commentRangeStart w:id="10"/>
      <w:r>
        <w:rPr>
          <w:rFonts w:ascii="Times New Roman" w:hAnsi="Times New Roman"/>
          <w:b/>
          <w:bCs/>
          <w:sz w:val="26"/>
          <w:szCs w:val="26"/>
        </w:rPr>
        <w:t>7.3. Hậu quả của việc chậm tiến độ thực hiện: theo Điều 18.3.</w:t>
      </w:r>
      <w:commentRangeEnd w:id="10"/>
      <w:r>
        <w:commentReference w:id="10"/>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1"/>
      <w:r>
        <w:rPr>
          <w:rFonts w:ascii="Times New Roman" w:hAnsi="Times New Roman"/>
          <w:sz w:val="26"/>
          <w:szCs w:val="26"/>
        </w:rPr>
        <w:t xml:space="preserve">bảo hiểm trách nhiệm dân sự đối với bên thứ ba cho phần công việc của Bên </w:t>
      </w:r>
      <w:commentRangeStart w:id="12"/>
      <w:r>
        <w:rPr>
          <w:rFonts w:ascii="Times New Roman" w:hAnsi="Times New Roman"/>
          <w:sz w:val="26"/>
          <w:szCs w:val="26"/>
        </w:rPr>
        <w:t>B</w:t>
      </w:r>
      <w:r>
        <w:rPr>
          <w:rFonts w:ascii="Times New Roman" w:hAnsi="Times New Roman"/>
          <w:sz w:val="26"/>
          <w:szCs w:val="26"/>
        </w:rPr>
      </w:r>
      <w:commentRangeEnd w:id="11"/>
      <w:r>
        <w:commentReference w:id="11"/>
      </w:r>
      <w:r>
        <w:rPr>
          <w:rFonts w:ascii="Times New Roman" w:hAnsi="Times New Roman"/>
          <w:sz w:val="26"/>
          <w:szCs w:val="26"/>
        </w:rPr>
      </w:r>
      <w:commentRangeEnd w:id="12"/>
      <w:r>
        <w:commentReference w:id="12"/>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3"/>
      <w:r>
        <w:rPr>
          <w:rFonts w:ascii="Times New Roman" w:hAnsi="Times New Roman"/>
          <w:sz w:val="26"/>
          <w:szCs w:val="26"/>
        </w:rPr>
        <w:t>Thời hạn bảo hành: 36</w:t>
      </w:r>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đối với Chủ đầu tư.</w:t>
      </w:r>
      <w:commentRangeEnd w:id="13"/>
      <w:r>
        <w:commentReference w:id="13"/>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24</w:t>
      </w:r>
      <w:r>
        <w:rPr>
          <w:rFonts w:ascii="Times New Roman" w:hAnsi="Times New Roman"/>
          <w:sz w:val="26"/>
          <w:szCs w:val="26"/>
        </w:rPr>
        <w:t xml:space="preserve"> giờ) kể từ khi nhận được thông báo, Bên A có quyền xử lý theo Điều 18.4.</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theo đơn giá cố định. Đơn giá không được điều chỉnh trong suốt thời gian thực hiện Hợp đồng, trừ trường hợp biến động giá vật liệu theo Điều 15.3.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4"/>
      <w:r>
        <w:rPr>
          <w:rFonts w:ascii="Times New Roman" w:hAnsi="Times New Roman"/>
          <w:sz w:val="26"/>
          <w:szCs w:val="26"/>
        </w:rPr>
        <w:t xml:space="preserve">a) Giá </w:t>
      </w:r>
      <w:commentRangeStart w:id="15"/>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5"/>
      <w:r>
        <w:commentReference w:id="15"/>
      </w:r>
      <w:r>
        <w:rPr>
          <w:rFonts w:ascii="Times New Roman" w:hAnsi="Times New Roman"/>
          <w:sz w:val="26"/>
          <w:szCs w:val="26"/>
        </w:rPr>
        <w:t>.</w:t>
      </w:r>
      <w:commentRangeEnd w:id="14"/>
      <w:r>
        <w:commentReference w:id="14"/>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17"/>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17"/>
      <w:r>
        <w:commentReference w:id="17"/>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18"/>
      <w:r>
        <w:rPr>
          <w:rFonts w:ascii="Times New Roman" w:hAnsi="Times New Roman"/>
          <w:sz w:val="26"/>
          <w:szCs w:val="26"/>
        </w:rPr>
        <w:t xml:space="preserve">, Tư vấn giám sát </w:t>
      </w:r>
      <w:r>
        <w:rPr>
          <w:rFonts w:ascii="Times New Roman" w:hAnsi="Times New Roman"/>
          <w:sz w:val="26"/>
          <w:szCs w:val="26"/>
        </w:rPr>
      </w:r>
      <w:commentRangeEnd w:id="18"/>
      <w:r>
        <w:commentReference w:id="18"/>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9"/>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19"/>
      <w:r>
        <w:commentReference w:id="19"/>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20"/>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1"/>
      <w:r>
        <w:rPr>
          <w:rFonts w:ascii="Times New Roman" w:hAnsi="Times New Roman"/>
          <w:sz w:val="26"/>
          <w:szCs w:val="26"/>
        </w:rPr>
        <w:t>Trường hợp Bên B không nộp bảo lãnh bảo hành, Bên A giữ lại 05</w:t>
      </w:r>
      <w:r>
        <w:rPr>
          <w:rFonts w:ascii="Times New Roman" w:hAnsi="Times New Roman"/>
          <w:sz w:val="26"/>
          <w:szCs w:val="26"/>
        </w:rPr>
        <w:t>% giá trị quyết toán và thanh toán cho Bên B khi kết thúc thời hạn bảo hành. Hồ sơ thanh toán gồm:</w:t>
      </w:r>
      <w:commentRangeEnd w:id="21"/>
      <w:r>
        <w:commentReference w:id="21"/>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w:t>
      </w:r>
      <w:r>
        <w:rPr>
          <w:rFonts w:ascii="Times New Roman" w:hAnsi="Times New Roman"/>
          <w:sz w:val="26"/>
          <w:szCs w:val="26"/>
        </w:rPr>
        <w:t xml:space="preserve"> ngày kể từ ngày Bên A phê duyệt hồ sơ thanh toán hợp lệ của Bên B. Giá trị quyết toán còn lại được thanh toán trong vòng 20</w:t>
      </w:r>
      <w:r>
        <w:rPr>
          <w:rFonts w:ascii="Times New Roman" w:hAnsi="Times New Roman"/>
          <w:sz w:val="26"/>
          <w:szCs w:val="26"/>
        </w:rPr>
        <w:t xml:space="preserve">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22"/>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commentReference w:id="23"/>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commentReference w:id="24"/>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commentReference w:id="25"/>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fals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commentReference w:id="2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27"/>
      <w:r>
        <w:rPr>
          <w:rFonts w:ascii="Times New Roman" w:hAnsi="Times New Roman"/>
          <w:sz w:val="26"/>
          <w:szCs w:val="26"/>
          <w:lang w:val="vi-VN"/>
        </w:rPr>
        <w:t>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commentRangeEnd w:id="27"/>
      <w:r>
        <w:commentReference w:id="27"/>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28"/>
      <w:r>
        <w:rPr>
          <w:rFonts w:ascii="Times New Roman" w:hAnsi="Times New Roman"/>
          <w:b/>
          <w:sz w:val="26"/>
          <w:szCs w:val="26"/>
          <w:lang w:val="vi-VN"/>
        </w:rPr>
        <w:t>15.3. Điều chỉnh giá trị Hợp đồng:</w:t>
      </w:r>
      <w:commentRangeEnd w:id="28"/>
      <w:r>
        <w:commentReference w:id="28"/>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Đơn giá thép xây dựng, bê tông thương phẩm tăng hoặc giảm quá 5% so với đơn giá cơ sở tại Biểu 01: giá trị điều chỉnh hằng tháng GTĐC = (Gt − Gc × (100% + D)) × Q, trong đó Gt là đơn giá theo thông báo giá của nhà sản xuất, nhà cung cấp được Bên A chấp thuận; Gc là đơn giá cơ sở; D = +5% khi giá tăng, −5% khi giá giảm; Q là khối lượng vật tư đưa vào Công trình được nghiệm thu, không vượt khối lượng tương ứng theo Hợp đồng; phần biến động trong phạm vi ±5% không được điều chỉnh. Chi phí tạm dừng, dừng chờ thực hiện theo Điều 17.1 điểm c.</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29"/>
      <w:r>
        <w:rPr>
          <w:rFonts w:ascii="Times New Roman" w:hAnsi="Times New Roman"/>
          <w:sz w:val="26"/>
          <w:szCs w:val="26"/>
          <w:lang w:val="vi-VN"/>
        </w:rPr>
        <w:t>(v) Bên A không kiểm tra, cho ý kiến đối với hồ sơ thanh toán quá 20 ngày kể từ ngày Bên B trình hồ sơ thanh toán đầy đủ, đúng quy định của Hợp đồng.</w:t>
      </w:r>
      <w:commentRangeEnd w:id="29"/>
      <w:r>
        <w:commentReference w:id="29"/>
      </w:r>
      <w:r>
        <w:rPr>
          <w:rFonts w:ascii="Times New Roman" w:hAnsi="Times New Roman"/>
          <w:sz w:val="26"/>
          <w:szCs w:val="26"/>
          <w:lang w:val="vi-VN"/>
        </w:rPr>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28</w:t>
      </w:r>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0"/>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0"/>
      <w:r>
        <w:commentReference w:id="30"/>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1"/>
      <w:r>
        <w:rPr>
          <w:rFonts w:ascii="Times New Roman" w:hAnsi="Times New Roman"/>
          <w:sz w:val="26"/>
          <w:szCs w:val="26"/>
          <w:lang w:val="vi-VN"/>
        </w:rPr>
        <w:t>(iv) Hợp đồng giữa Chủ đầu tư và Bên A đối với Dự án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1"/>
      <w:r>
        <w:commentReference w:id="31"/>
      </w:r>
      <w:r>
        <w:rPr>
          <w:rFonts w:ascii="Times New Roman" w:hAnsi="Times New Roman"/>
          <w:sz w:val="26"/>
          <w:szCs w:val="26"/>
          <w:lang w:val="vi-VN"/>
        </w:rPr>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2"/>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32"/>
      <w:r>
        <w:commentReference w:id="32"/>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3"/>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33"/>
      <w:r>
        <w:commentReference w:id="33"/>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4"/>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34"/>
      <w:r>
        <w:commentReference w:id="34"/>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lang w:val="en-US"/>
        </w:rPr>
        <w:t xml:space="preserve">Công việc bị dừng liên tục quá </w:t>
      </w:r>
      <w:r>
        <w:rPr>
          <w:rFonts w:ascii="Times New Roman" w:hAnsi="Times New Roman"/>
          <w:sz w:val="26"/>
          <w:szCs w:val="26"/>
          <w:highlight w:val="yellow"/>
          <w:lang w:val="en-US"/>
        </w:rPr>
        <w:t>45</w:t>
      </w:r>
      <w:r>
        <w:rPr>
          <w:rFonts w:ascii="Times New Roman" w:hAnsi="Times New Roman"/>
          <w:sz w:val="26"/>
          <w:szCs w:val="26"/>
          <w:lang w:val="en-US"/>
        </w:rPr>
        <w:t xml:space="preserve"> ngày theo Điều 17.1 do lỗi của Bên A.</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35"/>
      <w:r>
        <w:rPr>
          <w:rFonts w:ascii="Times New Roman" w:hAnsi="Times New Roman"/>
          <w:sz w:val="26"/>
          <w:szCs w:val="26"/>
        </w:rPr>
        <w:t>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 Bên A có quyền thu tiền phạt, tiền bồi thường bằng cách khấu trừ vào giá trị thanh toán theo Điều 3.5 hoặc thu từ bảo lãnh thực hiện Hợp đồng.</w:t>
      </w:r>
      <w:commentRangeEnd w:id="35"/>
      <w:r>
        <w:commentReference w:id="35"/>
      </w:r>
      <w:r>
        <w:rPr>
          <w:rFonts w:ascii="Times New Roman" w:hAnsi="Times New Roman"/>
          <w:sz w:val="26"/>
          <w:szCs w:val="26"/>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36"/>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36"/>
      <w:r>
        <w:commentReference w:id="36"/>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7"/>
      <w:r>
        <w:rPr>
          <w:rFonts w:ascii="Times New Roman" w:hAnsi="Times New Roman"/>
          <w:b/>
          <w:sz w:val="26"/>
          <w:szCs w:val="26"/>
        </w:rPr>
        <w:t>18.4. Bên A tự thực hiện hoặc thuê đơn vị khác thực hiện thay Bên B:</w:t>
      </w:r>
      <w:commentRangeEnd w:id="37"/>
      <w:r>
        <w:commentReference w:id="37"/>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w:t>
      </w:r>
      <w:r>
        <w:rPr>
          <w:rFonts w:ascii="Times New Roman" w:hAnsi="Times New Roman"/>
          <w:sz w:val="26"/>
          <w:szCs w:val="26"/>
        </w:rPr>
        <w:t>%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8"/>
      <w:r>
        <w:rPr>
          <w:rFonts w:ascii="Times New Roman" w:hAnsi="Times New Roman"/>
          <w:b/>
          <w:sz w:val="26"/>
          <w:szCs w:val="26"/>
        </w:rPr>
        <w:t>19.4. Bảo lãnh thanh toán:</w:t>
      </w:r>
      <w:commentRangeEnd w:id="38"/>
      <w:r>
        <w:commentReference w:id="38"/>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73003011"/>
            <w:bookmarkStart w:id="81" w:name="_Toc283736557"/>
            <w:bookmarkStart w:id="82" w:name="_Toc283736676"/>
            <w:bookmarkStart w:id="83" w:name="_Toc273427131"/>
            <w:bookmarkStart w:id="84" w:name="_Toc283735878"/>
            <w:bookmarkStart w:id="85" w:name="_Toc283298428"/>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9"/>
        <w:gridCol w:w="1702"/>
        <w:gridCol w:w="7387"/>
      </w:tblGrid>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39"/>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39"/>
      <w:r>
        <w:commentReference w:id="39"/>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8"/>
        <w:gridCol w:w="1152"/>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9"/>
        <w:gridCol w:w="2581"/>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8"/>
        <w:gridCol w:w="2802"/>
        <w:gridCol w:w="5672"/>
      </w:tblGrid>
      <w:tr>
        <w:trPr>
          <w:tblHeader w:val="true"/>
          <w:cantSplit w:val="true"/>
        </w:trPr>
        <w:tc>
          <w:tcPr>
            <w:tcW w:w="59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VNCN E&amp;C - Thương thảo 17/10" w:date="2026-10-19T03:50:38Z" w:initials="TT">
    <w:p>
      <w:pPr>
        <w:overflowPunct w:val="false"/>
        <w:rPr/>
      </w:pPr>
      <w:r>
        <w:rPr>
          <w:rFonts w:ascii="Liberation Serif" w:hAnsi="Liberation Serif" w:eastAsia="DejaVu Sans" w:cs="DejaVu Sans"/>
          <w:color w:val="000000"/>
          <w:sz w:val="20"/>
          <w:szCs w:val="20"/>
          <w:lang w:val="en-US" w:eastAsia="en-US" w:bidi="en-US"/>
        </w:rPr>
        <w:t>Thương thảo 17/10 – Điều kiện chung: chỉ bỏ thuật ngữ “Hợp đồng thầu chính” và “back to back” (định nghĩa 1.13 và các cụm từ tại 1.22, 1.26, 8.2, 10.3.2b, 12.2.5a, 17.2a(iv)); các nội dung khác giữ nguyên. Các định nghĩa 1.14–1.26 đánh lại số 1.13–1.24.</w:t>
      </w:r>
    </w:p>
  </w:comment>
  <w:comment w:id="1" w:author="Ban Kinh tế &amp; Quản lý Hợp đồng" w:date="2026-10-14T16:20:00Z" w:initials="BKt&amp;QlHđ">
    <w:p>
      <w:pPr>
        <w:overflowPunct w:val="tru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2" w:author="VNCN E&amp;C - Thương thảo 17/10" w:date="2026-10-19T03:50:38Z" w:initials="TT">
    <w:p>
      <w:pPr>
        <w:overflowPunct w:val="fals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3" w:author="Ban Kinh tế &amp; Quản lý Hợp đồng" w:date="2026-10-14T17:08:00Z" w:initials="BKt&amp;QlHđ">
    <w:p>
      <w:pPr>
        <w:overflowPunct w:val="tru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4" w:author="Ban Kinh tế &amp; Quản lý Hợp đồng" w:date="2026-10-14T17:12:00Z" w:initials="BKt&amp;QlHđ">
    <w:p>
      <w:pPr>
        <w:overflowPunct w:val="true"/>
        <w:rPr/>
      </w:pPr>
      <w:r>
        <w:rPr>
          <w:rFonts w:ascii="Liberation Serif" w:hAnsi="Liberation Serif" w:eastAsia="DejaVu Sans" w:cs="DejaVu Sans"/>
          <w:sz w:val="24"/>
          <w:lang w:val="en-US" w:eastAsia="en-US" w:bidi="en-US"/>
        </w:rPr>
        <w:t>Đã tham chiếu ý trên ở Biểu 1 (Chi tiết giá HĐ)</w:t>
      </w:r>
    </w:p>
  </w:comment>
  <w:comment w:id="5" w:author="VNCN E&amp;C - Thương thảo 17/10" w:date="2026-10-19T03:50:38Z" w:initials="TT">
    <w:p>
      <w:pPr>
        <w:overflowPunct w:val="fals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6" w:author="VNCN E&amp;C - Thương thảo 17/10" w:date="2026-10-19T03:50:38Z" w:initials="TT">
    <w:p>
      <w:pPr>
        <w:overflowPunct w:val="fals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7" w:author="VNCN E&amp;C - Thương thảo 17/10" w:date="2026-10-19T03:50:38Z" w:initials="TT">
    <w:p>
      <w:pPr>
        <w:overflowPunct w:val="fals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8"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9"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0"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1" w:author="Ban Kinh tế &amp; Quản lý Hợp đồng" w:date="2026-10-15T09:02:00Z" w:initials="BKt&amp;QlHđ">
    <w:p>
      <w:pPr>
        <w:overflowPunct w:val="tru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2" w:author="Ban Kinh tế &amp; Quản lý Hợp đồng" w:date="2026-10-15T18:09:00Z" w:initials="BKt&amp;QlHđ">
    <w:p>
      <w:pPr>
        <w:overflowPunct w:val="tru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3" w:author="VNCN E&amp;C - Thương thảo 17/10" w:date="2026-10-19T03:50:42Z" w:initials="TT">
    <w:p>
      <w:pPr>
        <w:overflowPunct w:val="fals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Bên A cam kết với Chủ đầu tư, chỉ bỏ cụm “Hợp đồng thầu chính”.</w:t>
      </w:r>
    </w:p>
  </w:comment>
  <w:comment w:id="15" w:author="Ban Kinh tế &amp; Quản lý Hợp đồng" w:date="2026-10-15T18:16:00Z" w:initials="BKt&amp;QlHđ">
    <w:p>
      <w:pPr>
        <w:overflowPunct w:val="true"/>
        <w:rPr/>
      </w:pPr>
      <w:r>
        <w:rPr>
          <w:rFonts w:ascii="Liberation Serif" w:hAnsi="Liberation Serif" w:eastAsia="DejaVu Sans" w:cs="DejaVu Sans"/>
          <w:sz w:val="24"/>
          <w:lang w:val="en-US" w:eastAsia="en-US" w:bidi="en-US"/>
        </w:rPr>
        <w:t>Chờ Cập nhật lại số liệu thầu sau khi thống nhất phạm vi</w:t>
      </w:r>
    </w:p>
  </w:comment>
  <w:comment w:id="14"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6"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7" w:author="Ban Kinh tế &amp; Quản lý Hợp đồng" w:date="2026-10-15T09:44:00Z" w:initials="BKt&amp;QlHđ">
    <w:p>
      <w:pPr>
        <w:overflowPunct w:val="true"/>
        <w:rPr/>
      </w:pPr>
      <w:r>
        <w:rPr>
          <w:rFonts w:ascii="Liberation Serif" w:hAnsi="Liberation Serif" w:eastAsia="DejaVu Sans" w:cs="DejaVu Sans"/>
          <w:sz w:val="24"/>
          <w:lang w:val="en-US" w:eastAsia="en-US" w:bidi="en-US"/>
        </w:rPr>
        <w:t>Phạm vi quan trắc của Tổng thầu</w:t>
      </w:r>
    </w:p>
  </w:comment>
  <w:comment w:id="18" w:author="Ban Kinh tế &amp; Quản lý Hợp đồng" w:date="2026-10-15T09:45:00Z" w:initials="BKt&amp;QlHđ">
    <w:p>
      <w:pPr>
        <w:overflowPunct w:val="true"/>
        <w:rPr/>
      </w:pPr>
      <w:r>
        <w:rPr>
          <w:rFonts w:ascii="Liberation Serif" w:hAnsi="Liberation Serif" w:eastAsia="DejaVu Sans" w:cs="DejaVu Sans"/>
          <w:sz w:val="24"/>
          <w:lang w:val="en-US" w:eastAsia="en-US" w:bidi="en-US"/>
        </w:rPr>
        <w:t>HĐ TVGS với CĐT không phải với Tổng thầu</w:t>
      </w:r>
    </w:p>
  </w:comment>
  <w:comment w:id="19"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0" w:author="VNCN E&amp;C - Thương thảo 17/10" w:date="2026-10-19T03:50:39Z" w:initials="TT">
    <w:p>
      <w:pPr>
        <w:overflowPunct w:val="fals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1"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2"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3"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4"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5"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6"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7" w:author="VNCN E&amp;C - Thương thảo 17/10" w:date="2026-10-19T03:50:40Z" w:initials="TT">
    <w:p>
      <w:pPr>
        <w:overflowPunct w:val="fals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28"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9"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0"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1"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Bỏ thuật ngữ “Hợp đồng thầu chính” theo điều kiện chung nhưng vẫn giữ căn cứ chấm dứt khi hợp đồng của Bên A với Chủ đầu tư chấm dứt.</w:t>
      </w:r>
    </w:p>
  </w:comment>
  <w:comment w:id="32"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3"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34"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5" w:author="VNCN E&amp;C - Thương thảo 17/10" w:date="2026-10-19T03:50:41Z" w:initials="TT">
    <w:p>
      <w:pPr>
        <w:overflowPunct w:val="false"/>
        <w:rPr/>
      </w:pPr>
      <w:r>
        <w:rPr>
          <w:rFonts w:ascii="Liberation Serif" w:hAnsi="Liberation Serif" w:eastAsia="DejaVu Sans" w:cs="DejaVu Sans"/>
          <w:color w:val="000000"/>
          <w:sz w:val="20"/>
          <w:szCs w:val="20"/>
          <w:lang w:val="en-US" w:eastAsia="en-US" w:bidi="en-US"/>
        </w:rPr>
        <w:t>Thương thảo 17/10 – Điều 18: bỏ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6" w:author="VNCN E&amp;C - Thương thảo 17/10" w:date="2026-10-19T03:50:42Z" w:initials="TT">
    <w:p>
      <w:pPr>
        <w:overflowPunct w:val="fals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37" w:author="VNCN E&amp;C - Thương thảo 17/10" w:date="2026-10-19T03:50:42Z" w:initials="TT">
    <w:p>
      <w:pPr>
        <w:overflowPunct w:val="fals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38" w:author="VNCN E&amp;C - Thương thảo 17/10" w:date="2026-10-19T03:50:42Z" w:initials="TT">
    <w:p>
      <w:pPr>
        <w:overflowPunct w:val="fals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9" w:author="Ban Kinh tế &amp; Quản lý Hợp đồng" w:date="2026-10-15T18:50:00Z" w:initials="BKt&amp;QlHđ">
    <w:p>
      <w:pPr>
        <w:overflowPunct w:val="true"/>
        <w:rPr/>
      </w:pPr>
      <w:r>
        <w:rPr>
          <w:rFonts w:ascii="Liberation Serif" w:hAnsi="Liberation Serif" w:eastAsia="DejaVu Sans" w:cs="DejaVu Sans"/>
          <w:sz w:val="24"/>
          <w:lang w:val="en-US" w:eastAsia="en-US" w:bidi="en-US"/>
        </w:rPr>
        <w:t>ĐỀ XUẤT THEO BẢNG EXCEL RIÊNG</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2026-10-19T03:50:51Z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