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6"/>
          <w:szCs w:val="26"/>
        </w:rPr>
        <w:t xml:space="preserve">BIỂU 02</w:t>
      </w:r>
    </w:p>
    <w:p>
      <w:pPr>
        <w:spacing w:after="0" w:before="0" w:line="276"/>
        <w:jc w:val="center"/>
      </w:pPr>
      <w:r>
        <w:rPr>
          <w:rFonts w:ascii="Times New Roman" w:cs="Times New Roman" w:eastAsia="Times New Roman" w:hAnsi="Times New Roman"/>
          <w:b/>
          <w:bCs/>
          <w:sz w:val="26"/>
          <w:szCs w:val="26"/>
        </w:rPr>
        <w:t xml:space="preserve">PHẠM VI CÔNG VIỆC, CÁCH TÍNH KHỐI LƯỢNG VÀ BAO HÀM ĐƠN GIÁ</w:t>
      </w:r>
    </w:p>
    <w:p>
      <w:pPr>
        <w:spacing w:after="200" w:before="0" w:line="276"/>
        <w:jc w:val="center"/>
      </w:pPr>
      <w:r>
        <w:rPr>
          <w:rFonts w:ascii="Times New Roman" w:cs="Times New Roman" w:eastAsia="Times New Roman" w:hAnsi="Times New Roman"/>
          <w:i/>
          <w:iCs/>
          <w:sz w:val="26"/>
          <w:szCs w:val="26"/>
        </w:rPr>
        <w:t xml:space="preserve">(Kèm theo hợp đồng số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/2026/HĐ/VNCNEC-</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ngày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tháng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năm 2026)</w:t>
      </w:r>
    </w:p>
    <w:p>
      <w:pPr>
        <w:spacing w:after="80" w:before="0" w:line="276"/>
        <w:jc w:val="both"/>
      </w:pPr>
      <w:r>
        <w:rPr>
          <w:rFonts w:ascii="Times New Roman" w:cs="Times New Roman" w:eastAsia="Times New Roman" w:hAnsi="Times New Roman"/>
          <w:b/>
          <w:bCs/>
          <w:sz w:val="26"/>
          <w:szCs w:val="26"/>
        </w:rPr>
        <w:t xml:space="preserve">I. Nguyên tắc chung</w:t>
      </w:r>
    </w:p>
    <w:p>
      <w:pPr>
        <w:spacing w:after="80" w:before="0" w:line="276"/>
        <w:jc w:val="both"/>
      </w:pPr>
      <w:r>
        <w:rPr>
          <w:rFonts w:ascii="Times New Roman" w:cs="Times New Roman" w:eastAsia="Times New Roman" w:hAnsi="Times New Roman"/>
          <w:sz w:val="26"/>
          <w:szCs w:val="26"/>
        </w:rPr>
        <w:t xml:space="preserve">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spacing w:after="80" w:before="0" w:line="276"/>
        <w:jc w:val="both"/>
      </w:pPr>
      <w:r>
        <w:rPr>
          <w:rFonts w:ascii="Times New Roman" w:cs="Times New Roman" w:eastAsia="Times New Roman" w:hAnsi="Times New Roman"/>
          <w:sz w:val="26"/>
          <w:szCs w:val="26"/>
        </w:rPr>
        <w:t xml:space="preserve">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spacing w:after="160" w:before="0" w:line="276"/>
        <w:jc w:val="both"/>
      </w:pPr>
      <w:r>
        <w:rPr>
          <w:rFonts w:ascii="Times New Roman" w:cs="Times New Roman" w:eastAsia="Times New Roman" w:hAnsi="Times New Roman"/>
          <w:sz w:val="26"/>
          <w:szCs w:val="26"/>
        </w:rPr>
        <w:t xml:space="preserve">3. Nội dung đo bóc chưa quy định tại Biểu này áp dụng </w:t>
      </w:r>
      <w:r>
        <w:rPr>
          <w:rFonts w:ascii="Times New Roman" w:cs="Times New Roman" w:eastAsia="Times New Roman" w:hAnsi="Times New Roman"/>
          <w:sz w:val="26"/>
          <w:szCs w:val="26"/>
          <w:highlight w:val="yellow"/>
          <w:highlightCs w:val="yellow"/>
        </w:rPr>
        <w:t xml:space="preserve">hướng dẫn đo bóc khối lượng xây dựng công trình của Bộ Xây dựng hiện hành</w:t>
      </w:r>
      <w:r>
        <w:rPr>
          <w:rFonts w:ascii="Times New Roman" w:cs="Times New Roman" w:eastAsia="Times New Roman" w:hAnsi="Times New Roman"/>
          <w:sz w:val="26"/>
          <w:szCs w:val="26"/>
        </w:rPr>
        <w:t xml:space="preserve">.</w:t>
      </w:r>
    </w:p>
    <w:p>
      <w:pPr>
        <w:spacing w:after="80" w:before="0" w:line="276"/>
        <w:jc w:val="both"/>
      </w:pPr>
      <w:r>
        <w:rPr>
          <w:rFonts w:ascii="Times New Roman" w:cs="Times New Roman" w:eastAsia="Times New Roman" w:hAnsi="Times New Roman"/>
          <w:b/>
          <w:bCs/>
          <w:sz w:val="26"/>
          <w:szCs w:val="26"/>
        </w:rPr>
        <w:t xml:space="preserve">II. Cách tính khối lượng và bao hàm đơn giá</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750"/>
        <w:gridCol w:w="2900"/>
        <w:gridCol w:w="2922"/>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2"/>
                <w:szCs w:val="22"/>
              </w:rPr>
              <w:t xml:space="preserve">TT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2"/>
                <w:szCs w:val="22"/>
              </w:rPr>
              <w:t xml:space="preserve">Công việc</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2"/>
                <w:szCs w:val="22"/>
              </w:rPr>
              <w:t xml:space="preserve">Đơn vị</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2"/>
                <w:szCs w:val="22"/>
              </w:rPr>
              <w:t xml:space="preserve">Cách tính khối lượng</w:t>
            </w:r>
          </w:p>
        </w:tc>
        <w:tc>
          <w:tcPr>
            <w:tcW w:type="dxa" w:w="2922"/>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22"/>
                <w:szCs w:val="22"/>
              </w:rPr>
              <w:t xml:space="preserve">Đơn giá bao gồm</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cừ Larsen IV dài 12m, 18m</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Chiều dài cừ theo thiết kế biện pháp được phê duyệt; không tính cừ hỏng, cừ bổ sung do lỗi Bên B</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vận chuyển, nâng hạ, duy trì cừ trong suốt thời gian thi công</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2</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Đóng cừ, rút cừ</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Chiều dài thanh cừ thực tế đóng, rút; không vượt thiết kế biện pháp</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Máy, nhân công, xử lý vướng; </w:t>
            </w:r>
            <w:r>
              <w:rPr>
                <w:rFonts w:ascii="Times New Roman" w:cs="Times New Roman" w:eastAsia="Times New Roman" w:hAnsi="Times New Roman"/>
                <w:sz w:val="22"/>
                <w:szCs w:val="22"/>
                <w:highlight w:val="yellow"/>
                <w:highlightCs w:val="yellow"/>
              </w:rPr>
              <w:t xml:space="preserve">lấp lỗ rỗng sau khi nhổ cừ</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Chi phí lưu cừ, lưu văng chống</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md/tháng</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Tính từ ngày kết thúc tiến độ được duyệt; tháng chưa tròn tính theo số ngày thực tế</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Chỉ áp dụng khi kéo dài do lỗi của Bên A và được Bên A chấp thuận bằng văn bản</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Văng chống H350x350x12x19 (cung cấp, lắp, tháo)</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kg</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Trọng lượng lý thuyết thép hình theo bản vẽ biện pháp; không tính bản mã, bu lông, hao hụt</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vận chuyển, nâng hạ, gia công, hàn, cắt chi tiết; lắp dựng, duy trì, tháo dỡ</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5</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Bê tông chèn dầm biên, Sika grout đầu cột, bê tông chèn cừ</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m3; 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Theo bản vẽ thiết kế, biện pháp được phê duyệt</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vật liệu, thi công, bảo dưỡng</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6</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Bê tông lót, móng, cột, vách, tường, sàn, dầm, thang bộ, ram dốc, sàn tăng cường</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Thể tích hình học theo bản vẽ; </w:t>
            </w:r>
            <w:r>
              <w:rPr>
                <w:rFonts w:ascii="Times New Roman" w:cs="Times New Roman" w:eastAsia="Times New Roman" w:hAnsi="Times New Roman"/>
                <w:sz w:val="22"/>
                <w:szCs w:val="22"/>
                <w:highlight w:val="yellow"/>
                <w:highlightCs w:val="yellow"/>
              </w:rPr>
              <w:t xml:space="preserve">không trừ thể tích cốt thép và lỗ rỗng nhỏ hơn 0,1 m3</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Bê tông thương phẩm đúng mác thiết kế (thương hiệu theo Biểu 07), phụ gia, bơm, đổ, đầm, bảo dưỡng, thí nghiệm, xử lý mạch ngừng</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7</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Cốt thép các loại</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tấn</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Trọng lượng theo bảng thống kê thép bản vẽ thi công được duyệt; </w:t>
            </w:r>
            <w:r>
              <w:rPr>
                <w:rFonts w:ascii="Times New Roman" w:cs="Times New Roman" w:eastAsia="Times New Roman" w:hAnsi="Times New Roman"/>
                <w:sz w:val="22"/>
                <w:szCs w:val="22"/>
                <w:highlight w:val="yellow"/>
                <w:highlightCs w:val="yellow"/>
              </w:rPr>
              <w:t xml:space="preserve">không tính nối chồng ngoài thiết kế, thép biện pháp, con kê</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gia công, lắp dựng, nối, buộc, con kê, cắt mẫu thí nghiệm</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8</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Ván khuôn các loại</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Diện tích bề mặt bê tông tiếp xúc ván khuôn theo bản vẽ; </w:t>
            </w:r>
            <w:r>
              <w:rPr>
                <w:rFonts w:ascii="Times New Roman" w:cs="Times New Roman" w:eastAsia="Times New Roman" w:hAnsi="Times New Roman"/>
                <w:sz w:val="22"/>
                <w:szCs w:val="22"/>
                <w:highlight w:val="yellow"/>
                <w:highlightCs w:val="yellow"/>
              </w:rPr>
              <w:t xml:space="preserve">trừ lỗ mở lớn hơn 1 m2</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lắp dựng, cây chống, giàn giáo, tháo dỡ, vệ sinh, chống dính</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9</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Bể nước sinh hoạt, bể nước PCCC, bể nước xử lý nước thải</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m3; tấn; 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Như mục 6, 7, 8; khối lượng tạm tính, điều chỉnh bằng phụ lục theo thiết kế được duyệt</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Như mục 6, 7, 8</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10</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Chống thấm nền tầng hầm</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Diện tích mặt bằng chống thấm theo bản vẽ; </w:t>
            </w:r>
            <w:r>
              <w:rPr>
                <w:rFonts w:ascii="Times New Roman" w:cs="Times New Roman" w:eastAsia="Times New Roman" w:hAnsi="Times New Roman"/>
                <w:sz w:val="22"/>
                <w:szCs w:val="22"/>
                <w:highlight w:val="yellow"/>
                <w:highlightCs w:val="yellow"/>
              </w:rPr>
              <w:t xml:space="preserve">không tính chồng mí, gấp mép</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Vật liệu theo Biểu 07, băng dính, xử lý đầu cọc, cổ ống, góc; thử nước; bảo vệ lớp chống thấm</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11</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Chống thấm tường tầng hầm</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Như mục 10</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Như mục 10, kèm xốp PE bảo vệ</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12</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Mạch ngừng (có và không có băng cản nước)</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md</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Chiều dài theo bản vẽ hoặc biện pháp phân zone được Bên A phê duyệt</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Băng cản nước, vệ sinh, xử lý mạch ngừng</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13</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Lấp cát chèn cừ</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Theo hồ sơ hoàn công, không vượt thiết kế biện pháp</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Cung cấp cát, vận chuyển, đầm</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14</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Đánh mặt bê tông chống nứt</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Diện tích mặt sàn theo bản vẽ</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Nhân công, máy</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15</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Phá dỡ, vận chuyển bê tông sàn bịt ram dốc biện pháp</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m3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Thể tích phá dỡ thực tế được nghiệm thu</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Phá dỡ, vận chuyển, đổ thải hợp pháp</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16</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Gia cố nền đất yếu</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Gói</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 gói, không điều chỉnh</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Phên nứa, rải gia cố đường giao thông, kho bãi</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17</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Thu nước hố móng, hạ mực nước ngầm</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Gói</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 gói, không điều chỉnh</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Thiết bị, nhân lực, nguồn điện dự phòng, vận hành liên tục suốt thời gian thi công Phần ngầm</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18</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Móng cẩu tháp</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Gói</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 gói, không điều chỉnh</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Toàn bộ kết cấu móng cẩu tháp</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19</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Chi phí chung</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Gói</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 gói, thanh toán theo Điều 10.3.2</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Văn phòng, lán trại, điện nước thi công, an toàn lao động, vệ sinh môi trường, bảo vệ, cầu rửa xe, huy động và giải thể (theo mục 4, 6, 7 Biểu 03)</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20</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Cẩu tháp</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22"/>
                <w:szCs w:val="22"/>
              </w:rPr>
              <w:t xml:space="preserve">Gói</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rPr>
              <w:t xml:space="preserve">Trọn gói, thanh toán theo Điều 10.3.2</w:t>
            </w:r>
          </w:p>
        </w:tc>
        <w:tc>
          <w:tcPr>
            <w:tcW w:type="dxa" w:w="2922"/>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22"/>
                <w:szCs w:val="22"/>
                <w:highlight w:val="yellow"/>
                <w:highlightCs w:val="yellow"/>
              </w:rPr>
              <w:t xml:space="preserve">Cung cấp, vận chuyển, lắp dựng, kiểm định, vận hành, bảo dưỡng, tháo dỡ cẩu tháp trong thời gian thi công Phần ngầm</w:t>
            </w:r>
          </w:p>
        </w:tc>
      </w:tr>
    </w:tbl>
    <w:p>
      <w:pPr>
        <w:spacing w:after="80" w:before="200" w:line="276"/>
        <w:jc w:val="both"/>
      </w:pPr>
      <w:r>
        <w:rPr>
          <w:rFonts w:ascii="Times New Roman" w:cs="Times New Roman" w:eastAsia="Times New Roman" w:hAnsi="Times New Roman"/>
          <w:b/>
          <w:bCs/>
          <w:sz w:val="26"/>
          <w:szCs w:val="26"/>
        </w:rPr>
        <w:t xml:space="preserve">III. Không bao gồm trong đơn giá</w:t>
      </w:r>
    </w:p>
    <w:p>
      <w:pPr>
        <w:spacing w:after="80" w:before="0" w:line="276"/>
        <w:jc w:val="both"/>
      </w:pPr>
      <w:r>
        <w:rPr>
          <w:rFonts w:ascii="Times New Roman" w:cs="Times New Roman" w:eastAsia="Times New Roman" w:hAnsi="Times New Roman"/>
          <w:sz w:val="26"/>
          <w:szCs w:val="26"/>
        </w:rPr>
        <w:t xml:space="preserve">Công tác đất (đào, vận chuyển, đắp đất, đập đầu cọc, san gạt nền); công tác chống mối; cọc khoan nhồi móng cẩu tháp; phá dỡ móng cẩu tháp và cọc khoan nhồi; công tác hoàn thiện ướt; quan trắc chuyển vị hệ cừ, văng chống (Bên A thực hiện theo Biểu 03).</w:t>
      </w:r>
    </w:p>
    <w:sectPr>
      <w:pgSz w:w="11907" w:h="16840"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2026-10-14T06:03:20.794Z</dcterms:created>
  <dcterms:modified xsi:type="dcterms:W3CDTF">2026-10-14T06:03:20.805Z</dcterms:modified>
</cp:coreProperties>
</file>

<file path=docProps/custom.xml><?xml version="1.0" encoding="utf-8"?>
<Properties xmlns="http://schemas.openxmlformats.org/officeDocument/2006/custom-properties" xmlns:vt="http://schemas.openxmlformats.org/officeDocument/2006/docPropsVTypes"/>
</file>