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2"/>
          <w:szCs w:val="22"/>
        </w:rPr>
        <w:t xml:space="preserve">CÔNG TY CP ĐẦU TƯ XÂY DỰNG VÀ KỸ THUẬT VNCN E&amp;C</w:t>
      </w:r>
    </w:p>
    <w:p>
      <w:pPr>
        <w:spacing w:before="200"/>
        <w:jc w:val="center"/>
      </w:pPr>
      <w:r>
        <w:rPr>
          <w:rFonts w:ascii="Times New Roman" w:cs="Times New Roman" w:eastAsia="Times New Roman" w:hAnsi="Times New Roman"/>
          <w:b/>
          <w:bCs/>
          <w:sz w:val="30"/>
          <w:szCs w:val="30"/>
        </w:rPr>
        <w:t xml:space="preserve">BÁO CÁO</w:t>
      </w:r>
    </w:p>
    <w:p>
      <w:pPr>
        <w:spacing w:after="80"/>
        <w:jc w:val="center"/>
      </w:pPr>
      <w:r>
        <w:rPr>
          <w:rFonts w:ascii="Times New Roman" w:cs="Times New Roman" w:eastAsia="Times New Roman" w:hAnsi="Times New Roman"/>
          <w:b/>
          <w:bCs/>
          <w:sz w:val="24"/>
          <w:szCs w:val="24"/>
        </w:rPr>
        <w:t xml:space="preserve">ĐIỂM KHÁC BIỆT, MỨC ĐỘ RỦI RO VÀ KIẾN NGHỊ ĐỐI VỚI BẢN CHỈNH SỬA DỰ THẢO HỢP ĐỒNG CỦA PHỤC HƯNG</w:t>
      </w:r>
    </w:p>
    <w:p>
      <w:pPr>
        <w:spacing w:after="80" w:before="0" w:line="276"/>
        <w:jc w:val="center"/>
      </w:pPr>
      <w:r>
        <w:rPr>
          <w:rFonts w:ascii="Times New Roman" w:cs="Times New Roman" w:eastAsia="Times New Roman" w:hAnsi="Times New Roman"/>
          <w:i/>
          <w:iCs/>
          <w:sz w:val="22"/>
          <w:szCs w:val="22"/>
        </w:rPr>
        <w:t xml:space="preserve">Gói thầu: Thi công phần ngầm – Dự án Nhà ở xã hội Yên Sở (khối CT1.2, CT2)</w:t>
      </w:r>
    </w:p>
    <w:p>
      <w:pPr>
        <w:spacing w:after="200" w:before="0" w:line="276"/>
        <w:jc w:val="center"/>
      </w:pPr>
      <w:r>
        <w:rPr>
          <w:rFonts w:ascii="Times New Roman" w:cs="Times New Roman" w:eastAsia="Times New Roman" w:hAnsi="Times New Roman"/>
          <w:i/>
          <w:iCs/>
          <w:sz w:val="22"/>
          <w:szCs w:val="22"/>
        </w:rPr>
        <w:t xml:space="preserve">Ngày: 16/10/2026</w:t>
      </w:r>
    </w:p>
    <w:p>
      <w:pPr>
        <w:spacing w:after="100" w:before="200"/>
      </w:pPr>
      <w:r>
        <w:rPr>
          <w:rFonts w:ascii="Times New Roman" w:cs="Times New Roman" w:eastAsia="Times New Roman" w:hAnsi="Times New Roman"/>
          <w:b/>
          <w:bCs/>
          <w:sz w:val="24"/>
          <w:szCs w:val="24"/>
        </w:rPr>
        <w:t xml:space="preserve">I. TỔNG QUAN</w:t>
      </w:r>
    </w:p>
    <w:p>
      <w:pPr>
        <w:spacing w:after="80" w:before="0" w:line="276"/>
        <w:jc w:val="both"/>
      </w:pPr>
      <w:r>
        <w:rPr>
          <w:rFonts w:ascii="Times New Roman" w:cs="Times New Roman" w:eastAsia="Times New Roman" w:hAnsi="Times New Roman"/>
          <w:sz w:val="22"/>
          <w:szCs w:val="22"/>
        </w:rPr>
        <w:t xml:space="preserve">1. Tài liệu rà soát: “PH vie – 261015 HĐ NOXH YÊN SỞ – PHẦN NGẦM EC-PHC.docx” do Phục Hưng (PH) gửi, gồm khoảng 750 điểm sửa đổi có theo dõi (track changes) trên 165 đoạn và 09 ý kiến (comment); đối chiếu với dự thảo Bên A ngày 14.10.2026, Biên bản thương thảo (ý kiến anh Quang), HĐ tổng thầu số 01/2026/HĐTTXL/LDIFT-TP &amp; LD VNCNEC-VH và Ma trận công việc 14.10.2026.</w:t>
      </w:r>
    </w:p>
    <w:p>
      <w:pPr>
        <w:spacing w:after="80" w:before="0" w:line="276"/>
        <w:jc w:val="both"/>
      </w:pPr>
      <w:r>
        <w:rPr>
          <w:rFonts w:ascii="Times New Roman" w:cs="Times New Roman" w:eastAsia="Times New Roman" w:hAnsi="Times New Roman"/>
          <w:sz w:val="22"/>
          <w:szCs w:val="22"/>
        </w:rPr>
        <w:t xml:space="preserve">2. Kết quả: 51 nhóm khác biệt, trong đó 32 nhóm rủi ro CAO, 15 nhóm TRUNG BÌNH, 4 nhóm THẤP.</w:t>
      </w:r>
    </w:p>
    <w:p>
      <w:pPr>
        <w:spacing w:after="80" w:before="0" w:line="276"/>
        <w:jc w:val="both"/>
      </w:pPr>
      <w:r>
        <w:rPr>
          <w:rFonts w:ascii="Times New Roman" w:cs="Times New Roman" w:eastAsia="Times New Roman" w:hAnsi="Times New Roman"/>
          <w:sz w:val="22"/>
          <w:szCs w:val="22"/>
        </w:rPr>
        <w:t xml:space="preserve">3. Nhận định chung: bản sửa của PH chuyển dịch có hệ thống rủi ro về Bên A theo 4 hướng: (i) cắt liên kết back-to-back với HĐ thầu chính (Điều 4.4, hồ sơ, xác nhận TVGS/CĐT, quyết toán sau khi CĐT trả); (ii) tăng dòng tiền cho PH (tạm ứng 30%, thanh toán vật tư 80%, chi phí chung 70% đầu kỳ, bảo lãnh thanh toán 15%, điều chỉnh giá thép/bê tông); (iii) nới tiến độ và mở rộng căn cứ gia hạn, dừng chờ; (iv) thu hẹp chế tài của Bên A (bỏ khấu trừ, bỏ căn cứ chấm dứt, trần phạt 8%, “im lặng là chấp thuận”). Nhiều nội dung trái trực tiếp với Biên bản thương thảo đã thống nhất.</w:t>
      </w:r>
    </w:p>
    <w:p>
      <w:pPr>
        <w:spacing w:after="80" w:before="0" w:line="276"/>
        <w:jc w:val="both"/>
      </w:pPr>
      <w:r>
        <w:rPr>
          <w:rFonts w:ascii="Times New Roman" w:cs="Times New Roman" w:eastAsia="Times New Roman" w:hAnsi="Times New Roman"/>
          <w:i/>
          <w:iCs/>
          <w:sz w:val="22"/>
          <w:szCs w:val="22"/>
        </w:rPr>
        <w:t xml:space="preserve">Ký hiệu: ô nền vàng là số liệu, tỷ lệ đề xuất đàm phán – cần lãnh đạo chốt.</w:t>
      </w:r>
    </w:p>
    <w:p>
      <w:pPr>
        <w:spacing w:after="100" w:before="200"/>
      </w:pPr>
      <w:r>
        <w:rPr>
          <w:rFonts w:ascii="Times New Roman" w:cs="Times New Roman" w:eastAsia="Times New Roman" w:hAnsi="Times New Roman"/>
          <w:b/>
          <w:bCs/>
          <w:sz w:val="24"/>
          <w:szCs w:val="24"/>
        </w:rPr>
        <w:t xml:space="preserve">II. BẢNG ĐỐI CHIẾU CHI TIẾT</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600"/>
        <w:gridCol w:w="1250"/>
        <w:gridCol w:w="2900"/>
        <w:gridCol w:w="2900"/>
        <w:gridCol w:w="1150"/>
        <w:gridCol w:w="5200"/>
      </w:tblGrid>
      <w:tr>
        <w:trPr>
          <w:tblHeader/>
        </w:trPr>
        <w:tc>
          <w:tcPr>
            <w:tcW w:type="dxa" w:w="600"/>
            <w:tcBorders>
              <w:top w:val="single" w:color="000000" w:sz="4"/>
              <w:left w:val="single" w:color="000000" w:sz="4"/>
              <w:bottom w:val="single" w:color="000000" w:sz="4"/>
              <w:right w:val="single" w:color="000000" w:sz="4"/>
            </w:tcBorders>
            <w:shd w:fill="BFBFBF"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STT</w:t>
            </w:r>
          </w:p>
        </w:tc>
        <w:tc>
          <w:tcPr>
            <w:tcW w:type="dxa" w:w="1250"/>
            <w:tcBorders>
              <w:top w:val="single" w:color="000000" w:sz="4"/>
              <w:left w:val="single" w:color="000000" w:sz="4"/>
              <w:bottom w:val="single" w:color="000000" w:sz="4"/>
              <w:right w:val="single" w:color="000000" w:sz="4"/>
            </w:tcBorders>
            <w:shd w:fill="BFBFBF"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Điều khoản</w:t>
            </w:r>
          </w:p>
        </w:tc>
        <w:tc>
          <w:tcPr>
            <w:tcW w:type="dxa" w:w="2900"/>
            <w:tcBorders>
              <w:top w:val="single" w:color="000000" w:sz="4"/>
              <w:left w:val="single" w:color="000000" w:sz="4"/>
              <w:bottom w:val="single" w:color="000000" w:sz="4"/>
              <w:right w:val="single" w:color="000000" w:sz="4"/>
            </w:tcBorders>
            <w:shd w:fill="BFBFBF"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Dự thảo Bên A</w:t>
            </w:r>
          </w:p>
        </w:tc>
        <w:tc>
          <w:tcPr>
            <w:tcW w:type="dxa" w:w="2900"/>
            <w:tcBorders>
              <w:top w:val="single" w:color="000000" w:sz="4"/>
              <w:left w:val="single" w:color="000000" w:sz="4"/>
              <w:bottom w:val="single" w:color="000000" w:sz="4"/>
              <w:right w:val="single" w:color="000000" w:sz="4"/>
            </w:tcBorders>
            <w:shd w:fill="BFBFBF"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Phục Hưng sửa đổi</w:t>
            </w:r>
          </w:p>
        </w:tc>
        <w:tc>
          <w:tcPr>
            <w:tcW w:type="dxa" w:w="1150"/>
            <w:tcBorders>
              <w:top w:val="single" w:color="000000" w:sz="4"/>
              <w:left w:val="single" w:color="000000" w:sz="4"/>
              <w:bottom w:val="single" w:color="000000" w:sz="4"/>
              <w:right w:val="single" w:color="000000" w:sz="4"/>
            </w:tcBorders>
            <w:shd w:fill="BFBFBF"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Mức rủi ro</w:t>
            </w:r>
          </w:p>
        </w:tc>
        <w:tc>
          <w:tcPr>
            <w:tcW w:type="dxa" w:w="5200"/>
            <w:tcBorders>
              <w:top w:val="single" w:color="000000" w:sz="4"/>
              <w:left w:val="single" w:color="000000" w:sz="4"/>
              <w:bottom w:val="single" w:color="000000" w:sz="4"/>
              <w:right w:val="single" w:color="000000" w:sz="4"/>
            </w:tcBorders>
            <w:shd w:fill="BFBFBF"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Kiến nghị / phương án chốt</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A. THÔNG TIN CHUNG, ĐỊNH NGHĨA, THỨ TỰ ƯU TIÊN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Phần đầu</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Số HĐ; tên Bên B “Công ty CP Xây dựng Phục Hưng”.</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Thêm hậu tố “VNCNEC-PHC”; đổi tên “Công ty CP Xây dựng Phục Hưng Holdings”.</w:t>
            </w:r>
          </w:p>
        </w:tc>
        <w:tc>
          <w:tcPr>
            <w:tcW w:type="dxa" w:w="1150"/>
            <w:tcBorders>
              <w:top w:val="single" w:color="000000" w:sz="4"/>
              <w:left w:val="single" w:color="000000" w:sz="4"/>
              <w:bottom w:val="single" w:color="000000" w:sz="4"/>
              <w:right w:val="single" w:color="000000" w:sz="4"/>
            </w:tcBorders>
            <w:shd w:fill="C6E0B4"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THẤP</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Chấp nhận. Yêu cầu PH cung cấp ĐKKD bản mới nhất, giấy ủy quyền người ký (nếu không phải người đại diện theo pháp luật) trước ngày ký.</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2</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1.20</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Định nghĩa “Phần ngầm”, nêu rõ phạm vi và phần loại trừ.</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Xóa (ghi chú: chi tiết tại phụ lục giá).</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Giữ định nghĩa ngắn: “Phần ngầm là toàn bộ công việc theo Biểu 01, Biểu 02 và Ma trận phân chia phạm vi công việc”. Không để phạm vi chỉ nằm ở bảng giá, tránh tranh chấp “ngoài BOQ là phát sinh”.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1.25</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Công trường: toàn bộ khu vực thi công Dự án.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Thu hẹp: khối CT1.2, CT2.</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Chấp nhận nêu khối CT1.2, CT2 nhưng bổ sung: “…và các khu vực phụ trợ, đường tạm, bãi tập kết, khu vực bố trí cẩu tháp do Bên A chỉ định”.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4</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Điều 2</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Thứ tự ưu tiên có lợi cho Bên A; áp dụng yêu cầu cao hơn khi mâu thuẫn.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Đưa HSDT của Bên B lên trên Chỉ dẫn kỹ thuật, bản vẽ; bỏ nguyên tắc “yêu cầu cao hơn”.</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Chấp nhận HĐ + phụ lục, Thông báo trúng thầu, HSMT đứng đầu. HSDT của Bên B phải xếp CUỐI (sau CDKT, bản vẽ). Khôi phục: “Khi có mâu thuẫn, áp dụng tiêu chuẩn, yêu cầu cao hơn; giải thích của Bên A là cơ sở thực hiện”.</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B. NGHĨA VỤ CHUNG, PHẠM VI, BACK-TO-BACK</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5</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3.2</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Cấm giao thầu lại nếu không được Bên A chấp thuận.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Chỉ cấm giao lại “toàn bộ” – được giao lại một phần tùy ý.</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Không chấp nhận. Mọi việc giao lại một phần phải được Bên A chấp thuận bằng văn bản; Bên B chịu trách nhiệm toàn bộ đối với thầu phụ của mình; cấm giao lại toàn bộ.</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6</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3.4 b, c</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B tự chịu thuế, giấy phép thuộc phạm vi; bồi hoàn cho Bên A thiệt hại do Bên B vi phạm pháp luật.</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Xóa (ghi chú: theo quy định BCH/BQLDA).</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Có thể rút gọn, nhưng giữ 01 câu: “Bên B phải tuân thủ pháp luật, quy định của BCH/BQLDA và bồi hoàn toàn bộ khoản phạt, thiệt hại mà Bên A phải chịu do vi phạm của Bên B”.</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7</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3.5</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A khấu trừ chi phí làm thay nghĩa vụ của Bên B + phí quản lý 15%.</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Xóa toàn bộ.</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Khôi phục quyền khấu trừ (công cụ chế tài thực tế nhất của Bên A). Có thể nhượng: phí quản lý giảm còn </w:t>
            </w:r>
            <w:r>
              <w:rPr>
                <w:rFonts w:ascii="Times New Roman" w:cs="Times New Roman" w:eastAsia="Times New Roman" w:hAnsi="Times New Roman"/>
                <w:sz w:val="20"/>
                <w:szCs w:val="20"/>
                <w:highlight w:val="yellow"/>
                <w:highlightCs w:val="yellow"/>
              </w:rPr>
              <w:t xml:space="preserve">__</w:t>
            </w:r>
            <w:r>
              <w:rPr>
                <w:rFonts w:ascii="Times New Roman" w:cs="Times New Roman" w:eastAsia="Times New Roman" w:hAnsi="Times New Roman"/>
                <w:sz w:val="20"/>
                <w:szCs w:val="20"/>
              </w:rPr>
              <w:t xml:space="preserve">% và Bên A thông báo trước </w:t>
            </w:r>
            <w:r>
              <w:rPr>
                <w:rFonts w:ascii="Times New Roman" w:cs="Times New Roman" w:eastAsia="Times New Roman" w:hAnsi="Times New Roman"/>
                <w:sz w:val="20"/>
                <w:szCs w:val="20"/>
                <w:highlight w:val="yellow"/>
                <w:highlightCs w:val="yellow"/>
              </w:rPr>
              <w:t xml:space="preserve">__</w:t>
            </w:r>
            <w:r>
              <w:rPr>
                <w:rFonts w:ascii="Times New Roman" w:cs="Times New Roman" w:eastAsia="Times New Roman" w:hAnsi="Times New Roman"/>
                <w:sz w:val="20"/>
                <w:szCs w:val="20"/>
              </w:rPr>
              <w:t xml:space="preserve"> ngày, trừ trường hợp khẩn cấp.</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8</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4.1.1</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Phạm vi công việc; quyền của Bên A điều chỉnh, giảm phạm vi.</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Xóa (ghi chú: đã nêu tại Biểu 01).</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Khôi phục quyền giảm phạm vi. Thỏa hiệp: nếu giảm vượt </w:t>
            </w:r>
            <w:r>
              <w:rPr>
                <w:rFonts w:ascii="Times New Roman" w:cs="Times New Roman" w:eastAsia="Times New Roman" w:hAnsi="Times New Roman"/>
                <w:sz w:val="20"/>
                <w:szCs w:val="20"/>
                <w:highlight w:val="yellow"/>
                <w:highlightCs w:val="yellow"/>
              </w:rPr>
              <w:t xml:space="preserve">__</w:t>
            </w:r>
            <w:r>
              <w:rPr>
                <w:rFonts w:ascii="Times New Roman" w:cs="Times New Roman" w:eastAsia="Times New Roman" w:hAnsi="Times New Roman"/>
                <w:sz w:val="20"/>
                <w:szCs w:val="20"/>
              </w:rPr>
              <w:t xml:space="preserve">% GTHĐ, Bên A thanh toán chi phí hợp lý đã phát sinh có chứng từ; không bồi thường lợi nhuận dự kiến.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9</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4.2 (đoạn cuối)</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Gia hạn khi nhà thầu khác gây chậm, trong phạm vi CĐT chấp thuận.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Nhà thầu khác chậm → Bên A phải gia hạn VÀ trả toàn bộ chi phí dừng chờ.</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Chỉ gia hạn tương ứng thời gian ảnh hưởng đường găng. Chi phí dừng chờ chỉ thanh toán khi do lỗi trực tiếp của Bên A hoặc trong phạm vi CĐT bù cho Bên A; Bên B phải chứng minh bằng hồ sơ.</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10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4.4</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B chịu các nghĩa vụ tương ứng của Tổng thầu theo HĐ thầu chính (back-to-back).</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Xóa toàn bộ.</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LẰN RANH ĐỎ – không nhượng bộ. Đây là căn cứ để chuyển rủi ro CĐT xuống Bên B; thiếu điều này Bên A gánh “khoảng hở” giữa 2 hợp đồng.</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C. CHẤT LƯỢNG, HỒ SƠ</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11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5.10</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Thử áp, ngâm nước.</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Bỏ thử áp, chỉ còn ngâm nước.</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Giữ thử áp đối với đường ống, hệ thống thuộc phạm vi Bên B (nếu có trong Biểu 01). Nếu phạm vi không có hạng mục cần thử áp thì chấp nhận.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12</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Hồ sơ NT, TT, QT</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08 bộ (khớp HĐ thầu chính).</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Giảm còn 06 bộ.</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Giữ 08 bộ vì CĐT yêu cầu 08 bộ. Phương án thỏa hiệp: 06 bộ gốc + bản mềm; Bên B in bổ sung khi Bên A yêu cầu, không tính phí.</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13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6.2(iii)</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Hồ sơ hoàn công nộp đồng bộ.</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Nộp trong 30 ngày sau bàn giao.</w:t>
            </w:r>
          </w:p>
        </w:tc>
        <w:tc>
          <w:tcPr>
            <w:tcW w:type="dxa" w:w="1150"/>
            <w:tcBorders>
              <w:top w:val="single" w:color="000000" w:sz="4"/>
              <w:left w:val="single" w:color="000000" w:sz="4"/>
              <w:bottom w:val="single" w:color="000000" w:sz="4"/>
              <w:right w:val="single" w:color="000000" w:sz="4"/>
            </w:tcBorders>
            <w:shd w:fill="C6E0B4"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THẤP</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Chấp nhận, bổ sung: hồ sơ hoàn công từng hạng mục là thành phần hồ sơ thanh toán đợt; nộp đủ là điều kiện quyết toán và hoàn bảo lãnh.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14</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6.4</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Vật tư luân chuyển của Bên B.</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Thêm ván khuôn, giàn giáo.</w:t>
            </w:r>
          </w:p>
        </w:tc>
        <w:tc>
          <w:tcPr>
            <w:tcW w:type="dxa" w:w="1150"/>
            <w:tcBorders>
              <w:top w:val="single" w:color="000000" w:sz="4"/>
              <w:left w:val="single" w:color="000000" w:sz="4"/>
              <w:bottom w:val="single" w:color="000000" w:sz="4"/>
              <w:right w:val="single" w:color="000000" w:sz="4"/>
            </w:tcBorders>
            <w:shd w:fill="C6E0B4"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THẤP</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Chấp nhận.</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D. TIẾN ĐỘ, GIA HẠN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15</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7.1</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268 ngày kể từ ngày ký HĐ; có mốc tiến độ.</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10,5 tháng (~315 ngày) + 20 ngày Tết, tính từ “ngày bắt đầu”; xóa các mốc.</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LẰN RANH ĐỎ: 268 ngày kể từ ngày ký (theo BB thương thảo), đã bao gồm nghỉ Tết, lễ, thời tiết thông thường. Giữ các mốc khớp mốc của HĐ thầu chính (phạt theo mốc). Chỉ cộng thêm nếu CĐT gia hạn cho Tổng thầu.</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16</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7.2</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Ngày khởi công = ngày ký HĐ; bàn giao theo đợt.</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Ngày bắt đầu = ngày muộn nhất của: ký HĐ, đủ hồ sơ thiết kế, bàn giao TOÀN BỘ mặt bằng, đủ điện, nhận đủ tạm ứng.</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Không chấp nhận (anh Quang đã bác). Ngày khởi công = ngày ký HĐ hoặc ngày Bên A có thông báo khởi công, tùy ngày nào muộn hơn nhưng không quá </w:t>
            </w:r>
            <w:r>
              <w:rPr>
                <w:rFonts w:ascii="Times New Roman" w:cs="Times New Roman" w:eastAsia="Times New Roman" w:hAnsi="Times New Roman"/>
                <w:sz w:val="20"/>
                <w:szCs w:val="20"/>
                <w:highlight w:val="yellow"/>
                <w:highlightCs w:val="yellow"/>
              </w:rPr>
              <w:t xml:space="preserve">__</w:t>
            </w:r>
            <w:r>
              <w:rPr>
                <w:rFonts w:ascii="Times New Roman" w:cs="Times New Roman" w:eastAsia="Times New Roman" w:hAnsi="Times New Roman"/>
                <w:sz w:val="20"/>
                <w:szCs w:val="20"/>
              </w:rPr>
              <w:t xml:space="preserve"> ngày kể từ ngày ký. Mặt bằng, hồ sơ thiết kế bàn giao theo từng đợt phù hợp tiến độ. Tạm ứng chậm do lỗi Bên A quá </w:t>
            </w:r>
            <w:r>
              <w:rPr>
                <w:rFonts w:ascii="Times New Roman" w:cs="Times New Roman" w:eastAsia="Times New Roman" w:hAnsi="Times New Roman"/>
                <w:sz w:val="20"/>
                <w:szCs w:val="20"/>
                <w:highlight w:val="yellow"/>
                <w:highlightCs w:val="yellow"/>
              </w:rPr>
              <w:t xml:space="preserve">__</w:t>
            </w:r>
            <w:r>
              <w:rPr>
                <w:rFonts w:ascii="Times New Roman" w:cs="Times New Roman" w:eastAsia="Times New Roman" w:hAnsi="Times New Roman"/>
                <w:sz w:val="20"/>
                <w:szCs w:val="20"/>
              </w:rPr>
              <w:t xml:space="preserve"> ngày thì gia hạn tương ứng.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17</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7.2, 7.3a</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Chấp thuận tiến độ không miễn trừ trách nhiệm; Bên B bảo đảm Bên A hoàn thành nghĩa vụ HĐ thầu chính; bồi thường thiệt hại do chậm.</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Xóa các câu này.</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Khôi phục toàn bộ. Đây là các câu bảo vệ cốt lõi, không làm tăng chi phí của PH nếu PH thực hiện đúng tiến độ.</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18</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Mới – Gia hạn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Không có (gia hạn trong phạm vi CĐT gia hạn).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Gia hạn khi: thay đổi, bất khả kháng, mưa bão, chậm của Bên A/nhà thầu khác, chậm phê duyệt, chậm tạm ứng/thanh toán &gt;15 ngày làm việc, chậm duyệt đơn giá, tạm ngừng, “các trường hợp khác”.</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Chấp nhận có điều khoản gia hạn nhưng chỉ 3 căn cứ: (i) bất khả kháng; (ii) thay đổi, phát sinh theo yêu cầu bằng văn bản của Bên A làm ảnh hưởng đường găng; (iii) Bên A chậm bàn giao mặt bằng, hồ sơ thiết kế. Loại bỏ: mưa bão thông thường, chậm thanh toán (BB thương thảo: không bù tiến độ), chậm duyệt đơn giá, “các trường hợp khác”. Điều kiện: Bên B thông báo trong </w:t>
            </w:r>
            <w:r>
              <w:rPr>
                <w:rFonts w:ascii="Times New Roman" w:cs="Times New Roman" w:eastAsia="Times New Roman" w:hAnsi="Times New Roman"/>
                <w:sz w:val="20"/>
                <w:szCs w:val="20"/>
                <w:highlight w:val="yellow"/>
                <w:highlightCs w:val="yellow"/>
              </w:rPr>
              <w:t xml:space="preserve">07</w:t>
            </w:r>
            <w:r>
              <w:rPr>
                <w:rFonts w:ascii="Times New Roman" w:cs="Times New Roman" w:eastAsia="Times New Roman" w:hAnsi="Times New Roman"/>
                <w:sz w:val="20"/>
                <w:szCs w:val="20"/>
              </w:rPr>
              <w:t xml:space="preserve"> ngày kể từ sự kiện, kèm chứng minh; quá hạn mất quyền yêu cầu; thời gian gia hạn không vượt thời gian CĐT gia hạn cho Bên A; không kèm chi phí trừ khi CĐT bù.</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19</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7.3c</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B không khắc phục trong 07 ngày → Bên A thuê bên khác, Bên B chịu toàn bộ chi phí.</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Nâng lên 15 ngày; trần: đơn giá thuê ngoài không vượt 20% đơn giá HĐ.</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Thỏa hiệp </w:t>
            </w:r>
            <w:r>
              <w:rPr>
                <w:rFonts w:ascii="Times New Roman" w:cs="Times New Roman" w:eastAsia="Times New Roman" w:hAnsi="Times New Roman"/>
                <w:sz w:val="20"/>
                <w:szCs w:val="20"/>
                <w:highlight w:val="yellow"/>
                <w:highlightCs w:val="yellow"/>
              </w:rPr>
              <w:t xml:space="preserve">10</w:t>
            </w:r>
            <w:r>
              <w:rPr>
                <w:rFonts w:ascii="Times New Roman" w:cs="Times New Roman" w:eastAsia="Times New Roman" w:hAnsi="Times New Roman"/>
                <w:sz w:val="20"/>
                <w:szCs w:val="20"/>
              </w:rPr>
              <w:t xml:space="preserve"> ngày; bỏ trần 20%. Bên B chịu toàn bộ chênh lệch chi phí hợp lý (cơ sở: báo giá cạnh tranh tối thiểu 02 nhà thầu) – Bên A không thể thuê thầu khẩn cấp với giá trần.</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E. BẢO HIỂM, BẢO HÀNH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20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8.1</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B mua các loại bảo hiểm theo HĐ.</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Ghi chú: TNDS bên thứ 3 theo HĐ tổng thầu; đề nghị làm rõ.</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Làm rõ bằng văn bản: bảo hiểm công trình do ai mua theo HĐ thầu chính. Bên B bắt buộc mua: bảo hiểm người lao động, thiết bị thi công, TNDS bên thứ ba cho phần việc của mình; nộp chứng từ trong 30 ngày (khớp HĐ thầu chính).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21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8.2</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Bảo hành 24 tháng; chống thấm 60 tháng.</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Bỏ chống thấm 60 tháng; mốc bảo hành từ CĐT nghiệm thu “hạng mục theo phạm vi HĐ”.</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Thời hạn: 24 tháng kể từ ngày CĐT nghiệm thu hoàn thành công trình đưa vào sử dụng (đúng BB thương thảo). Chống thấm: giữ cam kết </w:t>
            </w:r>
            <w:r>
              <w:rPr>
                <w:rFonts w:ascii="Times New Roman" w:cs="Times New Roman" w:eastAsia="Times New Roman" w:hAnsi="Times New Roman"/>
                <w:sz w:val="20"/>
                <w:szCs w:val="20"/>
                <w:highlight w:val="yellow"/>
                <w:highlightCs w:val="yellow"/>
              </w:rPr>
              <w:t xml:space="preserve">60</w:t>
            </w:r>
            <w:r>
              <w:rPr>
                <w:rFonts w:ascii="Times New Roman" w:cs="Times New Roman" w:eastAsia="Times New Roman" w:hAnsi="Times New Roman"/>
                <w:sz w:val="20"/>
                <w:szCs w:val="20"/>
              </w:rPr>
              <w:t xml:space="preserve"> tháng (phần ngầm sửa chữa rất tốn kém). Nhượng bộ tối đa: không thấp hơn mức Tổng thầu cam kết với CĐT.</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F. GIÁ HỢP ĐỒNG, ĐIỀU CHỈNH GIÁ</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22</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9.1 + 9.4 mới</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Đơn giá cố định, không điều chỉnh.</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Điều chỉnh giá thép, bê tông khi biến động &gt;±5% so với giá cơ sở, hằng tháng, công thức GTĐC = (Gt − Gc×(100%+D))×Q.</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LẰN RANH ĐỎ: đơn giá cố định (BB thương thảo). Chỉ điều chỉnh khi nhà nước có quy định bắt buộc VÀ CĐT điều chỉnh tương ứng cho Tổng thầu; mức Bên B được hưởng không vượt mức CĐT chấp thuận cho phần việc tương ứng.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23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9.4 mới (tiếp)</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Không có.</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Tạm dừng ≥30 ngày không do lỗi Bên B được thanh toán chi phí; giảm phạm vi “ảnh hưởng lớn” phải thỏa thuận.</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Không chấp nhận tại Điều 9. Xử lý tạm dừng tại Điều 17: chi phí chỉ thanh toán khi tạm dừng do lỗi Bên A, trong phạm vi chi phí thực tế hợp lý có chứng từ, hoặc trong phạm vi CĐT bù.</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24</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9.3a</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215.928.265.204 đ (cũ).</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Ghi chú: chờ cập nhật giá trị.</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Cập nhật theo Biểu 01 ngày 15.10.2026: trước thuế </w:t>
            </w:r>
            <w:r>
              <w:rPr>
                <w:rFonts w:ascii="Times New Roman" w:cs="Times New Roman" w:eastAsia="Times New Roman" w:hAnsi="Times New Roman"/>
                <w:sz w:val="20"/>
                <w:szCs w:val="20"/>
                <w:highlight w:val="yellow"/>
                <w:highlightCs w:val="yellow"/>
              </w:rPr>
              <w:t xml:space="preserve">200.309.911.834</w:t>
            </w:r>
            <w:r>
              <w:rPr>
                <w:rFonts w:ascii="Times New Roman" w:cs="Times New Roman" w:eastAsia="Times New Roman" w:hAnsi="Times New Roman"/>
                <w:sz w:val="20"/>
                <w:szCs w:val="20"/>
              </w:rPr>
              <w:t xml:space="preserve"> đ; VAT </w:t>
            </w:r>
            <w:r>
              <w:rPr>
                <w:rFonts w:ascii="Times New Roman" w:cs="Times New Roman" w:eastAsia="Times New Roman" w:hAnsi="Times New Roman"/>
                <w:sz w:val="20"/>
                <w:szCs w:val="20"/>
                <w:highlight w:val="yellow"/>
                <w:highlightCs w:val="yellow"/>
              </w:rPr>
              <w:t xml:space="preserve">16.024.792.947</w:t>
            </w:r>
            <w:r>
              <w:rPr>
                <w:rFonts w:ascii="Times New Roman" w:cs="Times New Roman" w:eastAsia="Times New Roman" w:hAnsi="Times New Roman"/>
                <w:sz w:val="20"/>
                <w:szCs w:val="20"/>
              </w:rPr>
              <w:t xml:space="preserve"> đ; sau thuế </w:t>
            </w:r>
            <w:r>
              <w:rPr>
                <w:rFonts w:ascii="Times New Roman" w:cs="Times New Roman" w:eastAsia="Times New Roman" w:hAnsi="Times New Roman"/>
                <w:sz w:val="20"/>
                <w:szCs w:val="20"/>
                <w:highlight w:val="yellow"/>
                <w:highlightCs w:val="yellow"/>
              </w:rPr>
              <w:t xml:space="preserve">216.334.704.781</w:t>
            </w:r>
            <w:r>
              <w:rPr>
                <w:rFonts w:ascii="Times New Roman" w:cs="Times New Roman" w:eastAsia="Times New Roman" w:hAnsi="Times New Roman"/>
                <w:sz w:val="20"/>
                <w:szCs w:val="20"/>
              </w:rPr>
              <w:t xml:space="preserve"> đ (chờ chốt khoản chiết khấu 164.702 đ). Tính lại giá trị tạm ứng, bảo lãnh.</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G. TẠM ỨNG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25</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Tạm ứng</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20%; trong 15 ngày; điều kiện có biên bản tập kết thiết bị.</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30% giá trị trước thuế; trong 07 ngày làm việc; bỏ điều kiện tập kết thiết bị.</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Giữ 20% (BB thương thảo). Thời hạn có thể nhượng </w:t>
            </w:r>
            <w:r>
              <w:rPr>
                <w:rFonts w:ascii="Times New Roman" w:cs="Times New Roman" w:eastAsia="Times New Roman" w:hAnsi="Times New Roman"/>
                <w:sz w:val="20"/>
                <w:szCs w:val="20"/>
                <w:highlight w:val="yellow"/>
                <w:highlightCs w:val="yellow"/>
              </w:rPr>
              <w:t xml:space="preserve">07</w:t>
            </w:r>
            <w:r>
              <w:rPr>
                <w:rFonts w:ascii="Times New Roman" w:cs="Times New Roman" w:eastAsia="Times New Roman" w:hAnsi="Times New Roman"/>
                <w:sz w:val="20"/>
                <w:szCs w:val="20"/>
              </w:rPr>
              <w:t xml:space="preserve"> ngày làm việc kể từ khi nhận đủ BL tạm ứng + BL thực hiện HĐ hợp lệ. Giữ điều kiện tập kết thiết bị chính (hoặc tách 2 đợt: </w:t>
            </w:r>
            <w:r>
              <w:rPr>
                <w:rFonts w:ascii="Times New Roman" w:cs="Times New Roman" w:eastAsia="Times New Roman" w:hAnsi="Times New Roman"/>
                <w:sz w:val="20"/>
                <w:szCs w:val="20"/>
                <w:highlight w:val="yellow"/>
                <w:highlightCs w:val="yellow"/>
              </w:rPr>
              <w:t xml:space="preserve">10</w:t>
            </w:r>
            <w:r>
              <w:rPr>
                <w:rFonts w:ascii="Times New Roman" w:cs="Times New Roman" w:eastAsia="Times New Roman" w:hAnsi="Times New Roman"/>
                <w:sz w:val="20"/>
                <w:szCs w:val="20"/>
              </w:rPr>
              <w:t xml:space="preserve">% khi ký, </w:t>
            </w:r>
            <w:r>
              <w:rPr>
                <w:rFonts w:ascii="Times New Roman" w:cs="Times New Roman" w:eastAsia="Times New Roman" w:hAnsi="Times New Roman"/>
                <w:sz w:val="20"/>
                <w:szCs w:val="20"/>
                <w:highlight w:val="yellow"/>
                <w:highlightCs w:val="yellow"/>
              </w:rPr>
              <w:t xml:space="preserve">10</w:t>
            </w:r>
            <w:r>
              <w:rPr>
                <w:rFonts w:ascii="Times New Roman" w:cs="Times New Roman" w:eastAsia="Times New Roman" w:hAnsi="Times New Roman"/>
                <w:sz w:val="20"/>
                <w:szCs w:val="20"/>
              </w:rPr>
              <w:t xml:space="preserve">% khi tập kết).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26</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Tạm ứng (tiếp)</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A kiểm tra, thu hồi tạm ứng sử dụng sai mục đích.</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Xóa.</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Khôi phục. Đây là quyền mặc nhiên của bên ứng tiền.</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H. THANH TOÁN, QUYẾT TOÁN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27</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Thanh toán đợt</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Ngưỡng tối thiểu 2 tỷ; hồ sơ back-to-back; có xác nhận TVGS/CĐT.</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Thanh toán hằng tháng; bỏ ngưỡng 2 tỷ; bỏ back-to-back; bỏ xác nhận TVGS/CĐT (ghi chú: HĐ TVGS ký với CĐT).</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Chấp nhận kỳ tháng, bỏ ngưỡng 2 tỷ (có thể giữ ngưỡng </w:t>
            </w:r>
            <w:r>
              <w:rPr>
                <w:rFonts w:ascii="Times New Roman" w:cs="Times New Roman" w:eastAsia="Times New Roman" w:hAnsi="Times New Roman"/>
                <w:sz w:val="20"/>
                <w:szCs w:val="20"/>
                <w:highlight w:val="yellow"/>
                <w:highlightCs w:val="yellow"/>
              </w:rPr>
              <w:t xml:space="preserve">__</w:t>
            </w:r>
            <w:r>
              <w:rPr>
                <w:rFonts w:ascii="Times New Roman" w:cs="Times New Roman" w:eastAsia="Times New Roman" w:hAnsi="Times New Roman"/>
                <w:sz w:val="20"/>
                <w:szCs w:val="20"/>
              </w:rPr>
              <w:t xml:space="preserve"> tỷ). Bắt buộc giữ: hồ sơ, thời gian phê duyệt back-to-back (BB thương thảo); xác nhận khối lượng của TVGS/CĐT là điều kiện thanh toán – chính vì TVGS ký với CĐT nên xác nhận của TVGS là căn cứ để Tổng thầu thu tiền từ CĐT.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28</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Thanh toán đợt (tiếp)</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A không ý kiến không phải là chấp thuận.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A duyệt trong 15 ngày, quá hạn coi như chấp thuận; thanh toán 07 ngày làm việc sau duyệt; bỏ loại trừ thời gian Bên B sửa hồ sơ.</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LẰN RANH ĐỎ: bỏ “im lặng là chấp thuận” (BLDS 2015 Điều 393: im lặng chỉ là chấp nhận khi các bên có thỏa thuận – ký vào là tự trói Bên A). Thời hạn duyệt back-to-back; thanh toán trong </w:t>
            </w:r>
            <w:r>
              <w:rPr>
                <w:rFonts w:ascii="Times New Roman" w:cs="Times New Roman" w:eastAsia="Times New Roman" w:hAnsi="Times New Roman"/>
                <w:sz w:val="20"/>
                <w:szCs w:val="20"/>
                <w:highlight w:val="yellow"/>
                <w:highlightCs w:val="yellow"/>
              </w:rPr>
              <w:t xml:space="preserve">14</w:t>
            </w:r>
            <w:r>
              <w:rPr>
                <w:rFonts w:ascii="Times New Roman" w:cs="Times New Roman" w:eastAsia="Times New Roman" w:hAnsi="Times New Roman"/>
                <w:sz w:val="20"/>
                <w:szCs w:val="20"/>
              </w:rPr>
              <w:t xml:space="preserve"> ngày (BB thương thảo); thời gian Bên B sửa hồ sơ không tính vào thời hạn.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29</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Phát sinh</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Phát sinh thanh toán khi CĐT chấp thuận.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Bỏ điều kiện CĐT chấp thuận.</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Khôi phục: phát sinh chỉ thanh toán khi đã ký phụ lục; phát sinh thuộc phạm vi HĐ thầu chính phải được CĐT chấp thuận.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30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Chi phí chung</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Phân bổ theo khối lượng hoàn thành.</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70% khi xong văn phòng, điện nước, 3/4 cẩu tháp; cẩu tháp 100%/cẩu khi vận hành.</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Không chấp nhận “dồn tiền đầu kỳ”. Phương án: tối đa </w:t>
            </w:r>
            <w:r>
              <w:rPr>
                <w:rFonts w:ascii="Times New Roman" w:cs="Times New Roman" w:eastAsia="Times New Roman" w:hAnsi="Times New Roman"/>
                <w:sz w:val="20"/>
                <w:szCs w:val="20"/>
                <w:highlight w:val="yellow"/>
                <w:highlightCs w:val="yellow"/>
              </w:rPr>
              <w:t xml:space="preserve">20</w:t>
            </w:r>
            <w:r>
              <w:rPr>
                <w:rFonts w:ascii="Times New Roman" w:cs="Times New Roman" w:eastAsia="Times New Roman" w:hAnsi="Times New Roman"/>
                <w:sz w:val="20"/>
                <w:szCs w:val="20"/>
              </w:rPr>
              <w:t xml:space="preserve">% chi phí chung khi hoàn thành huy động (có biên bản); phần còn lại theo % khối lượng hoàn thành; cẩu tháp thanh toán theo tháng vận hành thực tế.</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31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Mới – Thanh toán vật tư</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Không có.</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Thanh toán 80% giá trị thép, bê tông hằng tháng hoặc 65% theo khối lượng nhập về.</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Không chấp nhận (BB thương thảo: không tạm ứng vật tư). Phương án dự phòng chỉ khi lãnh đạo đồng ý: chỉ thép tập kết tại công trường, đã nghiệm thu đầu vào, tối đa </w:t>
            </w:r>
            <w:r>
              <w:rPr>
                <w:rFonts w:ascii="Times New Roman" w:cs="Times New Roman" w:eastAsia="Times New Roman" w:hAnsi="Times New Roman"/>
                <w:sz w:val="20"/>
                <w:szCs w:val="20"/>
                <w:highlight w:val="yellow"/>
                <w:highlightCs w:val="yellow"/>
              </w:rPr>
              <w:t xml:space="preserve">__</w:t>
            </w:r>
            <w:r>
              <w:rPr>
                <w:rFonts w:ascii="Times New Roman" w:cs="Times New Roman" w:eastAsia="Times New Roman" w:hAnsi="Times New Roman"/>
                <w:sz w:val="20"/>
                <w:szCs w:val="20"/>
              </w:rPr>
              <w:t xml:space="preserve">%, có bảo lãnh tương ứng, thu hồi ở kỳ kế tiếp, quyền sở hữu vật tư thuộc Bên A từ khi được thanh toán.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32</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10.4 mới – Lãi chậm trả</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Không có.</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A trả lãi 150% lãi tiết kiệm 01 tháng VCB.</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Theo BB thương thảo: lãi suất huy động kỳ hạn </w:t>
            </w:r>
            <w:r>
              <w:rPr>
                <w:rFonts w:ascii="Times New Roman" w:cs="Times New Roman" w:eastAsia="Times New Roman" w:hAnsi="Times New Roman"/>
                <w:sz w:val="20"/>
                <w:szCs w:val="20"/>
                <w:highlight w:val="yellow"/>
                <w:highlightCs w:val="yellow"/>
              </w:rPr>
              <w:t xml:space="preserve">01</w:t>
            </w:r>
            <w:r>
              <w:rPr>
                <w:rFonts w:ascii="Times New Roman" w:cs="Times New Roman" w:eastAsia="Times New Roman" w:hAnsi="Times New Roman"/>
                <w:sz w:val="20"/>
                <w:szCs w:val="20"/>
              </w:rPr>
              <w:t xml:space="preserve"> tháng của ngân hàng Bên B mở TK, không nhân 150%; chỉ tính khi chậm do lỗi Bên A, quá </w:t>
            </w:r>
            <w:r>
              <w:rPr>
                <w:rFonts w:ascii="Times New Roman" w:cs="Times New Roman" w:eastAsia="Times New Roman" w:hAnsi="Times New Roman"/>
                <w:sz w:val="20"/>
                <w:szCs w:val="20"/>
                <w:highlight w:val="yellow"/>
                <w:highlightCs w:val="yellow"/>
              </w:rPr>
              <w:t xml:space="preserve">__</w:t>
            </w:r>
            <w:r>
              <w:rPr>
                <w:rFonts w:ascii="Times New Roman" w:cs="Times New Roman" w:eastAsia="Times New Roman" w:hAnsi="Times New Roman"/>
                <w:sz w:val="20"/>
                <w:szCs w:val="20"/>
              </w:rPr>
              <w:t xml:space="preserve"> ngày; không áp dụng khi CĐT chậm trả Tổng thầu; không làm căn cứ gia hạn tiến độ.</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33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Quyết toán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Thanh toán quyết toán sau khi CĐT thanh toán cho Bên A; CĐT chậm thì lùi tương ứng.</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Thanh toán trong 14 ngày kể từ nhận hồ sơ Bên B; bỏ điều kiện CĐT thanh toán.</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LẰN RANH ĐỎ: quyết toán back-to-back (BB thương thảo). Thanh toán trong </w:t>
            </w:r>
            <w:r>
              <w:rPr>
                <w:rFonts w:ascii="Times New Roman" w:cs="Times New Roman" w:eastAsia="Times New Roman" w:hAnsi="Times New Roman"/>
                <w:sz w:val="20"/>
                <w:szCs w:val="20"/>
                <w:highlight w:val="yellow"/>
                <w:highlightCs w:val="yellow"/>
              </w:rPr>
              <w:t xml:space="preserve">14</w:t>
            </w:r>
            <w:r>
              <w:rPr>
                <w:rFonts w:ascii="Times New Roman" w:cs="Times New Roman" w:eastAsia="Times New Roman" w:hAnsi="Times New Roman"/>
                <w:sz w:val="20"/>
                <w:szCs w:val="20"/>
              </w:rPr>
              <w:t xml:space="preserve"> ngày kể từ khi CĐT phê duyệt quyết toán và thanh toán cho Bên A phần tương ứng.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34</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Hoàn bảo hành</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Trong 20 ngày.</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07 ngày làm việc.</w:t>
            </w:r>
          </w:p>
        </w:tc>
        <w:tc>
          <w:tcPr>
            <w:tcW w:type="dxa" w:w="1150"/>
            <w:tcBorders>
              <w:top w:val="single" w:color="000000" w:sz="4"/>
              <w:left w:val="single" w:color="000000" w:sz="4"/>
              <w:bottom w:val="single" w:color="000000" w:sz="4"/>
              <w:right w:val="single" w:color="000000" w:sz="4"/>
            </w:tcBorders>
            <w:shd w:fill="C6E0B4"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THẤP</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Chấp nhận 07 ngày làm việc kể từ khi hết hạn bảo hành, Bên B hoàn thành nghĩa vụ bảo hành và CĐT đã hoàn trả cho Bên A.</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35</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Phê duyệt Bên A</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Gắn với xác nhận TVGS/CĐT.</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A phê duyệt độc lập, không phụ thuộc chữ ký TVGS/CĐT.</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Không chấp nhận (cùng lý do mục Thanh toán đợt).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36</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10.7</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Giá trị các kỳ là tạm tính, điều chỉnh khi quyết toán.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Xóa.</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Khôi phục: giá trị thanh toán đợt là tạm tính; Bên A được khấu trừ khoản thanh toán thừa, trùng ở kỳ sau hoặc khi quyết toán.</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I. NGHĨA VỤ BÊN A</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37</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11.2</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Bàn giao mặt bằng theo từng phần; Bên A hỗ trợ thủ tục; dừng chờ chỉ khi lỗi trực tiếp của Bên A.</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Bàn giao TOÀN BỘ mặt bằng; Bên A “thực hiện” giấy phép; dừng chờ khi “không phải lỗi Bên B”.</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Bàn giao theo từng phần phù hợp tiến độ; Bên A “hỗ trợ” thủ tục thuộc CĐT; Bên B tự xin giấy phép thuộc phạm vi mình. Dừng chờ chỉ khi do lỗi trực tiếp của Bên A (“không phải lỗi Bên B” sẽ đẩy cả rủi ro CĐT, thời tiết, bên thứ ba cho Bên A).</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38</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12.1</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B không thực hiện phát sinh khi chưa ký phụ lục.</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Chấp nhận có điều kiện: trừ công việc khẩn cấp hoặc có lệnh bằng văn bản của Bên A/CĐT; hai bên ký phụ lục trong </w:t>
            </w:r>
            <w:r>
              <w:rPr>
                <w:rFonts w:ascii="Times New Roman" w:cs="Times New Roman" w:eastAsia="Times New Roman" w:hAnsi="Times New Roman"/>
                <w:sz w:val="20"/>
                <w:szCs w:val="20"/>
                <w:highlight w:val="yellow"/>
                <w:highlightCs w:val="yellow"/>
              </w:rPr>
              <w:t xml:space="preserve">30</w:t>
            </w:r>
            <w:r>
              <w:rPr>
                <w:rFonts w:ascii="Times New Roman" w:cs="Times New Roman" w:eastAsia="Times New Roman" w:hAnsi="Times New Roman"/>
                <w:sz w:val="20"/>
                <w:szCs w:val="20"/>
              </w:rPr>
              <w:t xml:space="preserve"> ngày; Bên B không được dừng phần việc khác.</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J. NGHĨA VỤ BÊN B</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39</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12.2.1 f, g, h</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B quan trắc công trình lân cận; chịu toàn bộ trách nhiệm sự cố lân cận; hạ mực nước ngầm.</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Bỏ quan trắc, trách nhiệm sự cố lân cận; chỉ còn tiêu thoát nước (ghi chú: quan trắc thuộc Tổng thầu).</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Chấp nhận quan trắc do Bên A thực hiện (khớp Ma trận). Nhưng bắt buộc giữ: Bên B chịu trách nhiệm, bồi thường toàn bộ sự cố công trình lân cận do biện pháp, thi công của Bên B gây ra; phải tạm dừng, xử lý khi số liệu quan trắc vượt ngưỡng. Hạ mực nước ngầm/tiêu thoát nước hố đào: theo Ma trận.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40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12.2.10</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B bố trí máy phát, nguồn dự phòng.</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Xóa.</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Giữ: Bên B bố trí nguồn dự phòng cho công tác thi công liên tục (đổ bê tông, bơm nước hố đào). Bên A cấp điện tạm đến điểm đấu theo Ma trận.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41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Mới – Rút quân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B được giải thể lực lượng sau khi hoàn thành tiến độ.</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Chỉ rút khỏi công trường sau khi nghiệm thu, bàn giao và được Bên A chấp thuận bằng văn bản; duy trì nhân sự sửa lỗi, bảo hành.</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K. PHÁT SINH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42</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13.1(ii), (iii); 13.3</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Đơn giá mới ≤ giá CĐT duyệt trừ 15%; Bên A duyệt 14 ngày, im lặng không là chấp thuận; Bên B không được trì hoãn; 13.3 các trường hợp không coi là phát sinh.</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Bỏ trần giá; Bên A duyệt 07 ngày làm việc, im lặng = chấp thuận; Bên B chỉ làm sau khi ký phụ lục; xóa (iii) và 13.3.</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Khôi phục trần giá (có thể nhượng: trừ </w:t>
            </w:r>
            <w:r>
              <w:rPr>
                <w:rFonts w:ascii="Times New Roman" w:cs="Times New Roman" w:eastAsia="Times New Roman" w:hAnsi="Times New Roman"/>
                <w:sz w:val="20"/>
                <w:szCs w:val="20"/>
                <w:highlight w:val="yellow"/>
                <w:highlightCs w:val="yellow"/>
              </w:rPr>
              <w:t xml:space="preserve">__</w:t>
            </w:r>
            <w:r>
              <w:rPr>
                <w:rFonts w:ascii="Times New Roman" w:cs="Times New Roman" w:eastAsia="Times New Roman" w:hAnsi="Times New Roman"/>
                <w:sz w:val="20"/>
                <w:szCs w:val="20"/>
              </w:rPr>
              <w:t xml:space="preserve">%). Thời hạn duyệt </w:t>
            </w:r>
            <w:r>
              <w:rPr>
                <w:rFonts w:ascii="Times New Roman" w:cs="Times New Roman" w:eastAsia="Times New Roman" w:hAnsi="Times New Roman"/>
                <w:sz w:val="20"/>
                <w:szCs w:val="20"/>
                <w:highlight w:val="yellow"/>
                <w:highlightCs w:val="yellow"/>
              </w:rPr>
              <w:t xml:space="preserve">14</w:t>
            </w:r>
            <w:r>
              <w:rPr>
                <w:rFonts w:ascii="Times New Roman" w:cs="Times New Roman" w:eastAsia="Times New Roman" w:hAnsi="Times New Roman"/>
                <w:sz w:val="20"/>
                <w:szCs w:val="20"/>
              </w:rPr>
              <w:t xml:space="preserve"> ngày, không “im lặng là chấp thuận”. Giữ (iii) đối với công việc khẩn cấp và giữ 13.3 (biện pháp thi công, sửa sai, tối ưu… không phải phát sinh).</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L. BẤT KHẢ KHÁNG, TẠM DỪNG, CHẤM DỨT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43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15.1b, 15.2</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Gia hạn chỉ trong phạm vi CĐT gia hạn; TVGS nghiệm thu.</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Xóa.</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Khôi phục cả hai (bảo đảm back-to-back với CĐT).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44</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17.1</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B chỉ tạm dừng khi chậm thanh toán &gt;56 ngày; thông báo 28 ngày.</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Tạm dừng khi chậm thanh toán &gt;07 ngày; thông báo 15 ngày; tạm dừng khi BCH duyệt &gt;20 ngày; chi phí “được Bên A chấp thuận”.</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LẰN RANH ĐỎ: chỉ khi chậm thanh toán &gt;</w:t>
            </w:r>
            <w:r>
              <w:rPr>
                <w:rFonts w:ascii="Times New Roman" w:cs="Times New Roman" w:eastAsia="Times New Roman" w:hAnsi="Times New Roman"/>
                <w:sz w:val="20"/>
                <w:szCs w:val="20"/>
                <w:highlight w:val="yellow"/>
                <w:highlightCs w:val="yellow"/>
              </w:rPr>
              <w:t xml:space="preserve">56</w:t>
            </w:r>
            <w:r>
              <w:rPr>
                <w:rFonts w:ascii="Times New Roman" w:cs="Times New Roman" w:eastAsia="Times New Roman" w:hAnsi="Times New Roman"/>
                <w:sz w:val="20"/>
                <w:szCs w:val="20"/>
              </w:rPr>
              <w:t xml:space="preserve"> ngày do lỗi Bên A (BB thương thảo), thông báo trước </w:t>
            </w:r>
            <w:r>
              <w:rPr>
                <w:rFonts w:ascii="Times New Roman" w:cs="Times New Roman" w:eastAsia="Times New Roman" w:hAnsi="Times New Roman"/>
                <w:sz w:val="20"/>
                <w:szCs w:val="20"/>
                <w:highlight w:val="yellow"/>
                <w:highlightCs w:val="yellow"/>
              </w:rPr>
              <w:t xml:space="preserve">28</w:t>
            </w:r>
            <w:r>
              <w:rPr>
                <w:rFonts w:ascii="Times New Roman" w:cs="Times New Roman" w:eastAsia="Times New Roman" w:hAnsi="Times New Roman"/>
                <w:sz w:val="20"/>
                <w:szCs w:val="20"/>
              </w:rPr>
              <w:t xml:space="preserve"> ngày; bỏ căn cứ BCH duyệt &gt;20 ngày; chi phí tạm dừng chỉ trong phạm vi CĐT bù hoặc lỗi trực tiếp Bên A.</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45</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17.2a(iv)</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HĐ thầu chính chấm dứt → chấm dứt, không phạt, không bồi thường.</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A thanh toán giá trị Bên B đã thực hiện.</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Chấp nhận thanh toán khối lượng đã nghiệm thu hợp lệ và vật tư đã đưa vào công trình, trong phạm vi CĐT thanh toán; giữ câu “không phạt, không bồi thường, không lợi nhuận dự kiến”.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46</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17.2b</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A chấm dứt khi: vi phạm lặp lại (3 lần nhắc), không phối hợp, vi phạm an toàn, sự cố cừ văng, Bên B dừng 14 ngày, chậm 45 ngày…; được sử dụng thiết bị Bên B.</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Xóa nhiều căn cứ; giao thầu lại chỉ “toàn bộ”; bỏ quyền sử dụng thiết bị.</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LẰN RANH ĐỎ: khôi phục toàn bộ căn cứ (BB thương thảo: Bên B dừng 14 ngày, chậm 45 ngày không nỗ lực khắc phục). Quyền sử dụng thiết bị: giữ, có thể thỏa hiệp trả phí thuê theo đơn giá hợp lý, tối đa </w:t>
            </w:r>
            <w:r>
              <w:rPr>
                <w:rFonts w:ascii="Times New Roman" w:cs="Times New Roman" w:eastAsia="Times New Roman" w:hAnsi="Times New Roman"/>
                <w:sz w:val="20"/>
                <w:szCs w:val="20"/>
                <w:highlight w:val="yellow"/>
                <w:highlightCs w:val="yellow"/>
              </w:rPr>
              <w:t xml:space="preserve">60</w:t>
            </w:r>
            <w:r>
              <w:rPr>
                <w:rFonts w:ascii="Times New Roman" w:cs="Times New Roman" w:eastAsia="Times New Roman" w:hAnsi="Times New Roman"/>
                <w:sz w:val="20"/>
                <w:szCs w:val="20"/>
              </w:rPr>
              <w:t xml:space="preserve"> ngày.</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47</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17.2c</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B chấm dứt khi chậm thanh toán 60 ngày; thông báo 28 ngày.</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Chậm &gt;30 ngày; thông báo 15 ngày; thêm căn cứ tạm dừng &gt;30 ngày không do lỗi Bên B.</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Giữ 60 ngày (BB thương thảo), thông báo </w:t>
            </w:r>
            <w:r>
              <w:rPr>
                <w:rFonts w:ascii="Times New Roman" w:cs="Times New Roman" w:eastAsia="Times New Roman" w:hAnsi="Times New Roman"/>
                <w:sz w:val="20"/>
                <w:szCs w:val="20"/>
                <w:highlight w:val="yellow"/>
                <w:highlightCs w:val="yellow"/>
              </w:rPr>
              <w:t xml:space="preserve">28</w:t>
            </w:r>
            <w:r>
              <w:rPr>
                <w:rFonts w:ascii="Times New Roman" w:cs="Times New Roman" w:eastAsia="Times New Roman" w:hAnsi="Times New Roman"/>
                <w:sz w:val="20"/>
                <w:szCs w:val="20"/>
              </w:rPr>
              <w:t xml:space="preserve"> ngày. Căn cứ tạm dừng: chỉ khi tạm dừng liên tục &gt;</w:t>
            </w:r>
            <w:r>
              <w:rPr>
                <w:rFonts w:ascii="Times New Roman" w:cs="Times New Roman" w:eastAsia="Times New Roman" w:hAnsi="Times New Roman"/>
                <w:sz w:val="20"/>
                <w:szCs w:val="20"/>
                <w:highlight w:val="yellow"/>
                <w:highlightCs w:val="yellow"/>
              </w:rPr>
              <w:t xml:space="preserve">84</w:t>
            </w:r>
            <w:r>
              <w:rPr>
                <w:rFonts w:ascii="Times New Roman" w:cs="Times New Roman" w:eastAsia="Times New Roman" w:hAnsi="Times New Roman"/>
                <w:sz w:val="20"/>
                <w:szCs w:val="20"/>
              </w:rPr>
              <w:t xml:space="preserve"> ngày do lỗi Bên A.</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M. PHẠT, BỒI THƯỜNG, BẢO LÃNH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48</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18</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Phạt theo back-to-back; tổng mức phạt ≤12% GTHĐ.</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Bỏ “back to back”; trần phạt 8%.</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Phạt chậm tiến độ giữ đúng tỷ lệ HĐ thầu chính (0,05%/tuần, tối đa 8% – BB thương thảo). Tổng mức phạt lũy kế mọi vi phạm ≤</w:t>
            </w:r>
            <w:r>
              <w:rPr>
                <w:rFonts w:ascii="Times New Roman" w:cs="Times New Roman" w:eastAsia="Times New Roman" w:hAnsi="Times New Roman"/>
                <w:sz w:val="20"/>
                <w:szCs w:val="20"/>
                <w:highlight w:val="yellow"/>
                <w:highlightCs w:val="yellow"/>
              </w:rPr>
              <w:t xml:space="preserve">12</w:t>
            </w:r>
            <w:r>
              <w:rPr>
                <w:rFonts w:ascii="Times New Roman" w:cs="Times New Roman" w:eastAsia="Times New Roman" w:hAnsi="Times New Roman"/>
                <w:sz w:val="20"/>
                <w:szCs w:val="20"/>
              </w:rPr>
              <w:t xml:space="preserve">% (chuẩn công ty). Nhượng bộ tối đa </w:t>
            </w:r>
            <w:r>
              <w:rPr>
                <w:rFonts w:ascii="Times New Roman" w:cs="Times New Roman" w:eastAsia="Times New Roman" w:hAnsi="Times New Roman"/>
                <w:sz w:val="20"/>
                <w:szCs w:val="20"/>
                <w:highlight w:val="yellow"/>
                <w:highlightCs w:val="yellow"/>
              </w:rPr>
              <w:t xml:space="preserve">10</w:t>
            </w:r>
            <w:r>
              <w:rPr>
                <w:rFonts w:ascii="Times New Roman" w:cs="Times New Roman" w:eastAsia="Times New Roman" w:hAnsi="Times New Roman"/>
                <w:sz w:val="20"/>
                <w:szCs w:val="20"/>
              </w:rPr>
              <w:t xml:space="preserve">%. Lưu ý: giữ nguyên câu “phạt không loại trừ bồi thường toàn bộ thiệt hại” – PH đã giữ, đây là lá chắn chính khi trần phạt bị hạ.</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49</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18.5</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Phạt chậm nộp hồ sơ (20 triệu, gấp đôi, tối đa 0,05%).</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Xóa.</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Khôi phục (mức trần chỉ 0,05% GTHĐ – không đáng kể với PH nhưng là công cụ đốc thúc hồ sơ thanh toán với CĐT).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50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20.4 mới</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Không có.</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Bên A cấp bảo lãnh thanh toán 15% GTHĐ trong 20 ngày.</w:t>
            </w:r>
          </w:p>
        </w:tc>
        <w:tc>
          <w:tcPr>
            <w:tcW w:type="dxa" w:w="1150"/>
            <w:tcBorders>
              <w:top w:val="single" w:color="000000" w:sz="4"/>
              <w:left w:val="single" w:color="000000" w:sz="4"/>
              <w:bottom w:val="single" w:color="000000" w:sz="4"/>
              <w:right w:val="single" w:color="000000" w:sz="4"/>
            </w:tcBorders>
            <w:shd w:fill="F4B183"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CAO</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Không chấp nhận (BB thương thảo). Chi phí ~</w:t>
            </w:r>
            <w:r>
              <w:rPr>
                <w:rFonts w:ascii="Times New Roman" w:cs="Times New Roman" w:eastAsia="Times New Roman" w:hAnsi="Times New Roman"/>
                <w:sz w:val="20"/>
                <w:szCs w:val="20"/>
                <w:highlight w:val="yellow"/>
                <w:highlightCs w:val="yellow"/>
              </w:rPr>
              <w:t xml:space="preserve">__</w:t>
            </w:r>
            <w:r>
              <w:rPr>
                <w:rFonts w:ascii="Times New Roman" w:cs="Times New Roman" w:eastAsia="Times New Roman" w:hAnsi="Times New Roman"/>
                <w:sz w:val="20"/>
                <w:szCs w:val="20"/>
              </w:rPr>
              <w:t xml:space="preserve">%/năm trên ~32 tỷ, chiếm hạn mức tín dụng của Bên A; HĐ thầu chính không có bảo lãnh thanh toán của CĐT tương ứng.</w:t>
            </w:r>
          </w:p>
        </w:tc>
      </w:tr>
      <w:tr>
        <w:tc>
          <w:tcPr>
            <w:tcW w:type="dxa" w:w="14000"/>
            <w:gridSpan w:val="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N. BIỂU, MA TRẬN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sz w:val="20"/>
                <w:szCs w:val="20"/>
              </w:rPr>
              <w:t xml:space="preserve">51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bCs/>
                <w:sz w:val="20"/>
                <w:szCs w:val="20"/>
              </w:rPr>
              <w:t xml:space="preserve">Biểu 01, Ma trận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Biểu 01 theo BOQ; Ma trận đã chốt.</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“Đề xuất theo bảng Excel riêng”; ghi chú “Làm rõ CĐT”, “Phối hợp cung cấp HS”.</w:t>
            </w:r>
          </w:p>
        </w:tc>
        <w:tc>
          <w:tcPr>
            <w:tcW w:type="dxa" w:w="1150"/>
            <w:tcBorders>
              <w:top w:val="single" w:color="000000" w:sz="4"/>
              <w:left w:val="single" w:color="000000" w:sz="4"/>
              <w:bottom w:val="single" w:color="000000" w:sz="4"/>
              <w:right w:val="single" w:color="000000" w:sz="4"/>
            </w:tcBorders>
            <w:shd w:fill="FFE699"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TRUNG BÌNH</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sz w:val="20"/>
                <w:szCs w:val="20"/>
              </w:rPr>
              <w:t xml:space="preserve">Dùng Biểu 01 bản 15.10.2026 làm căn cứ duy nhất. Các điểm “làm rõ” phải trả lời bằng văn bản và ký xác nhận trước ngày ký HĐ; không để ghi chú mở trong hồ sơ ký.</w:t>
            </w:r>
          </w:p>
        </w:tc>
      </w:tr>
    </w:tbl>
    <w:p>
      <w:pPr>
        <w:spacing w:after="100" w:before="200"/>
      </w:pPr>
      <w:r>
        <w:rPr>
          <w:rFonts w:ascii="Times New Roman" w:cs="Times New Roman" w:eastAsia="Times New Roman" w:hAnsi="Times New Roman"/>
          <w:b/>
          <w:bCs/>
          <w:sz w:val="24"/>
          <w:szCs w:val="24"/>
        </w:rPr>
        <w:t xml:space="preserve">III. PHÂN NHÓM ĐÀM PHÁN</w:t>
      </w:r>
    </w:p>
    <w:p>
      <w:pPr>
        <w:spacing w:after="80" w:before="0" w:line="276"/>
        <w:jc w:val="both"/>
      </w:pPr>
      <w:r>
        <w:rPr>
          <w:rFonts w:ascii="Times New Roman" w:cs="Times New Roman" w:eastAsia="Times New Roman" w:hAnsi="Times New Roman"/>
          <w:b/>
          <w:bCs/>
          <w:sz w:val="22"/>
          <w:szCs w:val="22"/>
        </w:rPr>
        <w:t xml:space="preserve">1. Nhóm “LẰN RANH ĐỎ” – không ký nếu không giữ được:</w:t>
      </w:r>
    </w:p>
    <w:p>
      <w:pPr>
        <w:spacing w:after="80" w:before="0" w:line="276"/>
        <w:ind w:left="300"/>
        <w:jc w:val="both"/>
      </w:pPr>
      <w:r>
        <w:rPr>
          <w:rFonts w:ascii="Times New Roman" w:cs="Times New Roman" w:eastAsia="Times New Roman" w:hAnsi="Times New Roman"/>
          <w:sz w:val="22"/>
          <w:szCs w:val="22"/>
        </w:rPr>
        <w:t xml:space="preserve">- Back-to-back với HĐ thầu chính: Điều 4.4; hồ sơ và thời gian phê duyệt; xác nhận của TVGS/CĐT; quyết toán sau khi CĐT thanh toán; gia hạn trong phạm vi CĐT gia hạn.</w:t>
      </w:r>
    </w:p>
    <w:p>
      <w:pPr>
        <w:spacing w:after="80" w:before="0" w:line="276"/>
        <w:ind w:left="300"/>
        <w:jc w:val="both"/>
      </w:pPr>
      <w:r>
        <w:rPr>
          <w:rFonts w:ascii="Times New Roman" w:cs="Times New Roman" w:eastAsia="Times New Roman" w:hAnsi="Times New Roman"/>
          <w:sz w:val="22"/>
          <w:szCs w:val="22"/>
        </w:rPr>
        <w:t xml:space="preserve">- Đơn giá cố định – không điều chỉnh giá thép, bê tông (Điều 9.1, 9.4).</w:t>
      </w:r>
    </w:p>
    <w:p>
      <w:pPr>
        <w:spacing w:after="80" w:before="0" w:line="276"/>
        <w:ind w:left="300"/>
        <w:jc w:val="both"/>
      </w:pPr>
      <w:r>
        <w:rPr>
          <w:rFonts w:ascii="Times New Roman" w:cs="Times New Roman" w:eastAsia="Times New Roman" w:hAnsi="Times New Roman"/>
          <w:sz w:val="22"/>
          <w:szCs w:val="22"/>
        </w:rPr>
        <w:t xml:space="preserve">- Không cấp bảo lãnh thanh toán; không thanh toán/tạm ứng vật tư; tạm ứng 20%.</w:t>
      </w:r>
    </w:p>
    <w:p>
      <w:pPr>
        <w:spacing w:after="80" w:before="0" w:line="276"/>
        <w:ind w:left="300"/>
        <w:jc w:val="both"/>
      </w:pPr>
      <w:r>
        <w:rPr>
          <w:rFonts w:ascii="Times New Roman" w:cs="Times New Roman" w:eastAsia="Times New Roman" w:hAnsi="Times New Roman"/>
          <w:sz w:val="22"/>
          <w:szCs w:val="22"/>
        </w:rPr>
        <w:t xml:space="preserve">- Tiến độ 268 ngày kể từ ngày ký HĐ; ngày khởi công không phụ thuộc chuỗi điều kiện của Bên B.</w:t>
      </w:r>
    </w:p>
    <w:p>
      <w:pPr>
        <w:spacing w:after="80" w:before="0" w:line="276"/>
        <w:ind w:left="300"/>
        <w:jc w:val="both"/>
      </w:pPr>
      <w:r>
        <w:rPr>
          <w:rFonts w:ascii="Times New Roman" w:cs="Times New Roman" w:eastAsia="Times New Roman" w:hAnsi="Times New Roman"/>
          <w:sz w:val="22"/>
          <w:szCs w:val="22"/>
        </w:rPr>
        <w:t xml:space="preserve">- Không chấp nhận “im lặng là chấp thuận” ở mọi điều khoản (thanh toán, phát sinh).</w:t>
      </w:r>
    </w:p>
    <w:p>
      <w:pPr>
        <w:spacing w:after="80" w:before="0" w:line="276"/>
        <w:ind w:left="300"/>
        <w:jc w:val="both"/>
      </w:pPr>
      <w:r>
        <w:rPr>
          <w:rFonts w:ascii="Times New Roman" w:cs="Times New Roman" w:eastAsia="Times New Roman" w:hAnsi="Times New Roman"/>
          <w:sz w:val="22"/>
          <w:szCs w:val="22"/>
        </w:rPr>
        <w:t xml:space="preserve">- Giữ quyền khấu trừ (3.5), quyền giảm phạm vi (4.1.1), căn cứ chấm dứt của Bên A (17.2b).</w:t>
      </w:r>
    </w:p>
    <w:p>
      <w:pPr>
        <w:spacing w:after="80" w:before="0" w:line="276"/>
        <w:ind w:left="300"/>
        <w:jc w:val="both"/>
      </w:pPr>
      <w:r>
        <w:rPr>
          <w:rFonts w:ascii="Times New Roman" w:cs="Times New Roman" w:eastAsia="Times New Roman" w:hAnsi="Times New Roman"/>
          <w:sz w:val="22"/>
          <w:szCs w:val="22"/>
        </w:rPr>
        <w:t xml:space="preserve">- Bên B chỉ tạm dừng khi chậm thanh toán &gt;56 ngày; chỉ chấm dứt khi chậm &gt;60 ngày.</w:t>
      </w:r>
    </w:p>
    <w:p>
      <w:pPr>
        <w:spacing w:after="80" w:before="100" w:line="276"/>
        <w:jc w:val="both"/>
      </w:pPr>
      <w:r>
        <w:rPr>
          <w:rFonts w:ascii="Times New Roman" w:cs="Times New Roman" w:eastAsia="Times New Roman" w:hAnsi="Times New Roman"/>
          <w:b/>
          <w:bCs/>
          <w:sz w:val="22"/>
          <w:szCs w:val="22"/>
        </w:rPr>
        <w:t xml:space="preserve">2. Nhóm có thể nhượng bộ có điều kiện (dùng làm “đổi chác”):</w:t>
      </w:r>
    </w:p>
    <w:p>
      <w:pPr>
        <w:spacing w:after="80" w:before="0" w:line="276"/>
        <w:ind w:left="300"/>
        <w:jc w:val="both"/>
      </w:pPr>
      <w:r>
        <w:rPr>
          <w:rFonts w:ascii="Times New Roman" w:cs="Times New Roman" w:eastAsia="Times New Roman" w:hAnsi="Times New Roman"/>
          <w:sz w:val="22"/>
          <w:szCs w:val="22"/>
        </w:rPr>
        <w:t xml:space="preserve">- Thanh toán hằng tháng, bỏ ngưỡng 2 tỷ; thời hạn tạm ứng 07 ngày làm việc; hoàn bảo hành 07 ngày làm việc.</w:t>
      </w:r>
    </w:p>
    <w:p>
      <w:pPr>
        <w:spacing w:after="80" w:before="0" w:line="276"/>
        <w:ind w:left="300"/>
        <w:jc w:val="both"/>
      </w:pPr>
      <w:r>
        <w:rPr>
          <w:rFonts w:ascii="Times New Roman" w:cs="Times New Roman" w:eastAsia="Times New Roman" w:hAnsi="Times New Roman"/>
          <w:sz w:val="22"/>
          <w:szCs w:val="22"/>
        </w:rPr>
        <w:t xml:space="preserve">- Lãi chậm trả theo lãi huy động 01 tháng (không nhân 150%); phí quản lý khấu trừ giảm từ 15%; trần phát sinh trừ ít hơn 15%.</w:t>
      </w:r>
    </w:p>
    <w:p>
      <w:pPr>
        <w:spacing w:after="80" w:before="0" w:line="276"/>
        <w:ind w:left="300"/>
        <w:jc w:val="both"/>
      </w:pPr>
      <w:r>
        <w:rPr>
          <w:rFonts w:ascii="Times New Roman" w:cs="Times New Roman" w:eastAsia="Times New Roman" w:hAnsi="Times New Roman"/>
          <w:sz w:val="22"/>
          <w:szCs w:val="22"/>
        </w:rPr>
        <w:t xml:space="preserve">- Thời hạn khắc phục 7.3c lên 10 ngày; tổng trần phạt xuống 10% (nếu buộc phải nhượng).</w:t>
      </w:r>
    </w:p>
    <w:p>
      <w:pPr>
        <w:spacing w:after="80" w:before="0" w:line="276"/>
        <w:ind w:left="300"/>
        <w:jc w:val="both"/>
      </w:pPr>
      <w:r>
        <w:rPr>
          <w:rFonts w:ascii="Times New Roman" w:cs="Times New Roman" w:eastAsia="Times New Roman" w:hAnsi="Times New Roman"/>
          <w:sz w:val="22"/>
          <w:szCs w:val="22"/>
        </w:rPr>
        <w:t xml:space="preserve">- Quan trắc do Bên A thực hiện (nhưng Bên B chịu trách nhiệm sự cố do mình gây ra); 06 bộ hồ sơ + bản mềm; có điều khoản gia hạn với 3 căn cứ hẹp.</w:t>
      </w:r>
    </w:p>
    <w:p>
      <w:pPr>
        <w:spacing w:after="80" w:before="0" w:line="276"/>
        <w:ind w:left="300"/>
        <w:jc w:val="both"/>
      </w:pPr>
      <w:r>
        <w:rPr>
          <w:rFonts w:ascii="Times New Roman" w:cs="Times New Roman" w:eastAsia="Times New Roman" w:hAnsi="Times New Roman"/>
          <w:sz w:val="22"/>
          <w:szCs w:val="22"/>
        </w:rPr>
        <w:t xml:space="preserve">- Chi phí chung thanh toán </w:t>
      </w:r>
      <w:r>
        <w:rPr>
          <w:rFonts w:ascii="Times New Roman" w:cs="Times New Roman" w:eastAsia="Times New Roman" w:hAnsi="Times New Roman"/>
          <w:sz w:val="22"/>
          <w:szCs w:val="22"/>
          <w:highlight w:val="yellow"/>
          <w:highlightCs w:val="yellow"/>
        </w:rPr>
        <w:t xml:space="preserve">20</w:t>
      </w:r>
      <w:r>
        <w:rPr>
          <w:rFonts w:ascii="Times New Roman" w:cs="Times New Roman" w:eastAsia="Times New Roman" w:hAnsi="Times New Roman"/>
          <w:sz w:val="22"/>
          <w:szCs w:val="22"/>
        </w:rPr>
        <w:t xml:space="preserve">% khi hoàn thành huy động; HĐ thầu chính chấm dứt thì trả khối lượng đã nghiệm thu.</w:t>
      </w:r>
    </w:p>
    <w:p>
      <w:pPr>
        <w:spacing w:after="80" w:before="100" w:line="276"/>
        <w:jc w:val="both"/>
      </w:pPr>
      <w:r>
        <w:rPr>
          <w:rFonts w:ascii="Times New Roman" w:cs="Times New Roman" w:eastAsia="Times New Roman" w:hAnsi="Times New Roman"/>
          <w:b w:val="false"/>
          <w:bCs w:val="false"/>
          <w:sz w:val="22"/>
          <w:szCs w:val="22"/>
        </w:rPr>
        <w:t xml:space="preserve">3. Nhóm chấp nhận: tên Bên B, số HĐ; ván khuôn, giàn giáo luân chuyển; hồ sơ hoàn công 30 ngày (gắn điều kiện quyết toán); 12.1 không làm phát sinh khi chưa ký phụ lục (trừ việc khẩn cấp).</w:t>
      </w:r>
    </w:p>
    <w:p>
      <w:pPr>
        <w:spacing w:after="100" w:before="200"/>
      </w:pPr>
      <w:r>
        <w:rPr>
          <w:rFonts w:ascii="Times New Roman" w:cs="Times New Roman" w:eastAsia="Times New Roman" w:hAnsi="Times New Roman"/>
          <w:b/>
          <w:bCs/>
          <w:sz w:val="24"/>
          <w:szCs w:val="24"/>
        </w:rPr>
        <w:t xml:space="preserve">IV. KIẾN NGHỊ LỘ TRÌNH ĐỂ KÝ HỢP ĐỒNG</w:t>
      </w:r>
    </w:p>
    <w:p>
      <w:pPr>
        <w:spacing w:after="80" w:before="0" w:line="276"/>
        <w:jc w:val="both"/>
      </w:pPr>
      <w:r>
        <w:rPr>
          <w:rFonts w:ascii="Times New Roman" w:cs="Times New Roman" w:eastAsia="Times New Roman" w:hAnsi="Times New Roman"/>
          <w:sz w:val="22"/>
          <w:szCs w:val="22"/>
        </w:rPr>
        <w:t xml:space="preserve">Bước 1: Bên A phản hồi trực tiếp trên file của PH bằng track changes: chấp nhận nhóm 3; sửa theo phương án tại cột “Kiến nghị” cho nhóm 2; từ chối nhóm 1 kèm comment dẫn chiếu Biên bản thương thảo / HĐ thầu chính.</w:t>
      </w:r>
    </w:p>
    <w:p>
      <w:pPr>
        <w:spacing w:after="80" w:before="0" w:line="276"/>
        <w:jc w:val="both"/>
      </w:pPr>
      <w:r>
        <w:rPr>
          <w:rFonts w:ascii="Times New Roman" w:cs="Times New Roman" w:eastAsia="Times New Roman" w:hAnsi="Times New Roman"/>
          <w:sz w:val="22"/>
          <w:szCs w:val="22"/>
        </w:rPr>
        <w:t xml:space="preserve">Bước 2: Họp thương thảo 01 buổi, chỉ tập trung các mục rủi ro CAO; nguyên tắc “nhượng nhóm 2 để giữ nhóm 1”; mọi nhượng bộ ghi vào Biên bản thương thảo bổ sung.</w:t>
      </w:r>
    </w:p>
    <w:p>
      <w:pPr>
        <w:spacing w:after="80" w:before="0" w:line="276"/>
        <w:jc w:val="both"/>
      </w:pPr>
      <w:r>
        <w:rPr>
          <w:rFonts w:ascii="Times New Roman" w:cs="Times New Roman" w:eastAsia="Times New Roman" w:hAnsi="Times New Roman"/>
          <w:sz w:val="22"/>
          <w:szCs w:val="22"/>
        </w:rPr>
        <w:t xml:space="preserve">Bước 3: Chốt giá trị HĐ theo Biểu 01 ngày 15.10.2026 (xử lý khoản chiết khấu 164.702 đ), cập nhật Điều 9.3a, giá trị tạm ứng, bảo lãnh; PH trả lời bằng văn bản các ghi chú “làm rõ” trong Ma trận.</w:t>
      </w:r>
    </w:p>
    <w:p>
      <w:pPr>
        <w:spacing w:after="80" w:before="0" w:line="276"/>
        <w:jc w:val="both"/>
      </w:pPr>
      <w:r>
        <w:rPr>
          <w:rFonts w:ascii="Times New Roman" w:cs="Times New Roman" w:eastAsia="Times New Roman" w:hAnsi="Times New Roman"/>
          <w:sz w:val="22"/>
          <w:szCs w:val="22"/>
        </w:rPr>
        <w:t xml:space="preserve">Bước 4: Pháp chế rà soát bản sạch cuối cùng (đối chiếu Luật Xây dựng số 135/2025/QH15 và văn bản hướng dẫn về mức phạt, điều chỉnh giá) trước khi trình ký. Điều kiện ký: PH nộp BL thực hiện HĐ 5% hợp lệ.</w:t>
      </w:r>
    </w:p>
    <w:p>
      <w:pPr>
        <w:spacing w:after="80" w:before="100" w:line="276"/>
        <w:jc w:val="both"/>
      </w:pPr>
      <w:r>
        <w:rPr>
          <w:rFonts w:ascii="Times New Roman" w:cs="Times New Roman" w:eastAsia="Times New Roman" w:hAnsi="Times New Roman"/>
          <w:sz w:val="22"/>
          <w:szCs w:val="22"/>
        </w:rPr>
        <w:t xml:space="preserve">Kết luận: Chấp nhận khoảng 1/3 đề xuất của PH ở mức rủi ro thấp/trung bình để tạo thiện chí; giữ nguyên toàn bộ nhóm “lằn ranh đỏ”. Với phương án này hợp đồng có thể ký trong khi quyền lợi của Bên A vẫn được bảo đảm, không tạo khoảng hở rủi ro so với HĐ thầu chính.</w:t>
      </w: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2026-10-16T01:08:00.909Z</dcterms:created>
  <dcterms:modified xsi:type="dcterms:W3CDTF">2026-10-16T01:08:00.909Z</dcterms:modified>
</cp:coreProperties>
</file>

<file path=docProps/custom.xml><?xml version="1.0" encoding="utf-8"?>
<Properties xmlns="http://schemas.openxmlformats.org/officeDocument/2006/custom-properties" xmlns:vt="http://schemas.openxmlformats.org/officeDocument/2006/docPropsVTypes"/>
</file>