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Times New Roman" w:cs="Times New Roman" w:eastAsia="Times New Roman" w:hAnsi="Times New Roman"/>
          <w:b/>
          <w:bCs/>
          <w:sz w:val="30"/>
          <w:szCs w:val="30"/>
        </w:rPr>
        <w:t xml:space="preserve">ĐỀ XUẤT CÂU CHỮ SỬA HỢP ĐỒNG PHẦN NGẦM – PHỤC HƯNG</w:t>
      </w:r>
    </w:p>
    <w:p>
      <w:pPr>
        <w:spacing w:after="200" w:before="0" w:line="300"/>
        <w:jc w:val="center"/>
      </w:pPr>
      <w:r>
        <w:rPr>
          <w:rFonts w:ascii="Times New Roman" w:cs="Times New Roman" w:eastAsia="Times New Roman" w:hAnsi="Times New Roman"/>
          <w:b w:val="false"/>
          <w:bCs w:val="false"/>
          <w:i/>
          <w:iCs/>
          <w:sz w:val="24"/>
          <w:szCs w:val="24"/>
        </w:rPr>
        <w:t xml:space="preserve">(Sửa trên bản Phục Hưng gửi ngày 26/10/2026 – 09 nội dung cần Lãnh đạo quyết định)</w:t>
      </w:r>
    </w:p>
    <w:p>
      <w:pPr>
        <w:spacing w:after="160" w:before="0" w:line="300"/>
        <w:jc w:val="both"/>
      </w:pPr>
      <w:r>
        <w:rPr>
          <w:rFonts w:ascii="Times New Roman" w:cs="Times New Roman" w:eastAsia="Times New Roman" w:hAnsi="Times New Roman"/>
          <w:b w:val="false"/>
          <w:bCs w:val="false"/>
          <w:i/>
          <w:iCs/>
          <w:sz w:val="22"/>
          <w:szCs w:val="22"/>
        </w:rPr>
        <w:t xml:space="preserve">Các đoạn trong khung thay thế toàn bộ đoạn tương ứng trong bản PH. Phần tô vàng là số liệu chờ Lãnh đạo chốt.</w:t>
      </w:r>
    </w:p>
    <w:p>
      <w:pPr>
        <w:pStyle w:val="Heading2"/>
        <w:keepNext/>
        <w:spacing w:after="80" w:before="200"/>
      </w:pPr>
      <w:r>
        <w:rPr>
          <w:rFonts w:ascii="Times New Roman" w:cs="Times New Roman" w:eastAsia="Times New Roman" w:hAnsi="Times New Roman"/>
          <w:b/>
          <w:bCs/>
          <w:color w:val="1F3864"/>
          <w:sz w:val="26"/>
          <w:szCs w:val="26"/>
        </w:rPr>
        <w:t xml:space="preserve">1. Điều 7.1 – Tiến độ thực hiện</w:t>
      </w:r>
    </w:p>
    <w:p>
      <w:pPr>
        <w:spacing w:after="60" w:before="0" w:line="300"/>
        <w:jc w:val="both"/>
      </w:pPr>
      <w:r>
        <w:rPr>
          <w:rFonts w:ascii="Times New Roman" w:cs="Times New Roman" w:eastAsia="Times New Roman" w:hAnsi="Times New Roman"/>
          <w:b w:val="false"/>
          <w:bCs w:val="false"/>
          <w:sz w:val="22"/>
          <w:szCs w:val="22"/>
        </w:rPr>
        <w:t xml:space="preserve">Vị trí: Điều 7.1 điểm a, b</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a) Tổng thời gian thực hiện Hợp đồng: </w:t>
            </w:r>
            <w:r>
              <w:rPr>
                <w:rFonts w:ascii="Times New Roman" w:cs="Times New Roman" w:eastAsia="Times New Roman" w:hAnsi="Times New Roman"/>
                <w:b w:val="false"/>
                <w:bCs w:val="false"/>
                <w:sz w:val="24"/>
                <w:szCs w:val="24"/>
                <w:highlight w:val="yellow"/>
              </w:rPr>
              <w:t xml:space="preserve">320</w:t>
            </w:r>
            <w:r>
              <w:rPr>
                <w:rFonts w:ascii="Times New Roman" w:cs="Times New Roman" w:eastAsia="Times New Roman" w:hAnsi="Times New Roman"/>
                <w:b w:val="false"/>
                <w:bCs w:val="false"/>
                <w:sz w:val="24"/>
                <w:szCs w:val="24"/>
              </w:rPr>
              <w:t xml:space="preserve"> ngày kể từ ngày bắt đầu quy định tại Điều 7.2.</w:t>
            </w:r>
          </w:p>
          <w:p>
            <w:pPr>
              <w:spacing w:after="80" w:before="0" w:line="300"/>
              <w:jc w:val="both"/>
            </w:pPr>
            <w:r>
              <w:rPr>
                <w:rFonts w:ascii="Times New Roman" w:cs="Times New Roman" w:eastAsia="Times New Roman" w:hAnsi="Times New Roman"/>
                <w:b w:val="false"/>
                <w:bCs w:val="false"/>
                <w:sz w:val="24"/>
                <w:szCs w:val="24"/>
              </w:rPr>
              <w:t xml:space="preserve">b) Mốc tiến độ quan trọng: Mốc 1 – Hoàn thành kết cấu sàn tầng hầm B2: </w:t>
            </w:r>
            <w:r>
              <w:rPr>
                <w:rFonts w:ascii="Times New Roman" w:cs="Times New Roman" w:eastAsia="Times New Roman" w:hAnsi="Times New Roman"/>
                <w:b w:val="false"/>
                <w:bCs w:val="false"/>
                <w:sz w:val="24"/>
                <w:szCs w:val="24"/>
                <w:highlight w:val="yellow"/>
              </w:rPr>
              <w:t xml:space="preserve">195</w:t>
            </w:r>
            <w:r>
              <w:rPr>
                <w:rFonts w:ascii="Times New Roman" w:cs="Times New Roman" w:eastAsia="Times New Roman" w:hAnsi="Times New Roman"/>
                <w:b w:val="false"/>
                <w:bCs w:val="false"/>
                <w:sz w:val="24"/>
                <w:szCs w:val="24"/>
              </w:rPr>
              <w:t xml:space="preserve"> ngày kể từ ngày bắt đầu; Mốc 2 – Hoàn thành đổ bê tông nắp hầm tại cao độ ±0.0: </w:t>
            </w:r>
            <w:r>
              <w:rPr>
                <w:rFonts w:ascii="Times New Roman" w:cs="Times New Roman" w:eastAsia="Times New Roman" w:hAnsi="Times New Roman"/>
                <w:b w:val="false"/>
                <w:bCs w:val="false"/>
                <w:sz w:val="24"/>
                <w:szCs w:val="24"/>
                <w:highlight w:val="yellow"/>
              </w:rPr>
              <w:t xml:space="preserve">280</w:t>
            </w:r>
            <w:r>
              <w:rPr>
                <w:rFonts w:ascii="Times New Roman" w:cs="Times New Roman" w:eastAsia="Times New Roman" w:hAnsi="Times New Roman"/>
                <w:b w:val="false"/>
                <w:bCs w:val="false"/>
                <w:sz w:val="24"/>
                <w:szCs w:val="24"/>
              </w:rPr>
              <w:t xml:space="preserve"> ngày kể từ ngày bắt đầu. Các mốc được điều chỉnh tương ứng khi Bên B được gia hạn theo Điều 15.1 điểm c.</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Số ngày tô vàng là đề xuất của PH, Lãnh đạo chốt.</w:t>
      </w:r>
    </w:p>
    <w:p>
      <w:pPr>
        <w:pStyle w:val="Heading2"/>
        <w:keepNext/>
        <w:spacing w:after="80" w:before="200"/>
      </w:pPr>
      <w:r>
        <w:rPr>
          <w:rFonts w:ascii="Times New Roman" w:cs="Times New Roman" w:eastAsia="Times New Roman" w:hAnsi="Times New Roman"/>
          <w:b/>
          <w:bCs/>
          <w:color w:val="1F3864"/>
          <w:sz w:val="26"/>
          <w:szCs w:val="26"/>
        </w:rPr>
        <w:t xml:space="preserve">2. Điều 10.3.1 – Tạm ứng</w:t>
      </w:r>
    </w:p>
    <w:p>
      <w:pPr>
        <w:spacing w:after="60" w:before="0" w:line="300"/>
        <w:jc w:val="both"/>
      </w:pPr>
      <w:r>
        <w:rPr>
          <w:rFonts w:ascii="Times New Roman" w:cs="Times New Roman" w:eastAsia="Times New Roman" w:hAnsi="Times New Roman"/>
          <w:b w:val="false"/>
          <w:bCs w:val="false"/>
          <w:sz w:val="22"/>
          <w:szCs w:val="22"/>
        </w:rPr>
        <w:t xml:space="preserve">Vị trí: Điều 10.3.1 điểm a, câu đầu</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a) Giá trị tạm ứng: 20% giá trị Hợp đồng trước thuế GTGT, tương ứng 40.062.790.478 đồng. Bên A tạm ứng trong vòng 07 ngày làm việc kể từ ngày nhận đủ các hồ sơ hợp lệ sau của Bên B:</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Giữ 20% như PH đã đồng ý trong bản 21/10.</w:t>
      </w:r>
    </w:p>
    <w:p>
      <w:pPr>
        <w:pStyle w:val="Heading2"/>
        <w:keepNext/>
        <w:spacing w:after="80" w:before="200"/>
      </w:pPr>
      <w:r>
        <w:rPr>
          <w:rFonts w:ascii="Times New Roman" w:cs="Times New Roman" w:eastAsia="Times New Roman" w:hAnsi="Times New Roman"/>
          <w:b/>
          <w:bCs/>
          <w:color w:val="1F3864"/>
          <w:sz w:val="26"/>
          <w:szCs w:val="26"/>
        </w:rPr>
        <w:t xml:space="preserve">3. Điều 10.3.2b – Thanh toán nhanh</w:t>
      </w:r>
    </w:p>
    <w:p>
      <w:pPr>
        <w:spacing w:after="60" w:before="0" w:line="300"/>
        <w:jc w:val="both"/>
      </w:pPr>
      <w:r>
        <w:rPr>
          <w:rFonts w:ascii="Times New Roman" w:cs="Times New Roman" w:eastAsia="Times New Roman" w:hAnsi="Times New Roman"/>
          <w:b w:val="false"/>
          <w:bCs w:val="false"/>
          <w:sz w:val="22"/>
          <w:szCs w:val="22"/>
        </w:rPr>
        <w:t xml:space="preserve">Vị trí: Toàn bộ đoạn “b) Thanh nhanh…” đến hết “Hóa đơn GTGT.” (8 đoạn PH thêm)</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bCs/>
                <w:sz w:val="24"/>
                <w:szCs w:val="24"/>
              </w:rPr>
              <w:t xml:space="preserve">Phương án 1 (đề xuất): Xóa toàn bộ.</w:t>
            </w:r>
          </w:p>
        </w:tc>
      </w:tr>
    </w:tbl>
    <w:p>
      <w:pPr>
        <w:spacing w:after="60" w:before="60" w:line="300"/>
        <w:jc w:val="both"/>
      </w:pPr>
      <w:r>
        <w:rPr>
          <w:rFonts w:ascii="Times New Roman" w:cs="Times New Roman" w:eastAsia="Times New Roman" w:hAnsi="Times New Roman"/>
          <w:b/>
          <w:bCs/>
          <w:sz w:val="24"/>
          <w:szCs w:val="24"/>
        </w:rPr>
        <w:t xml:space="preserve">Phương án 2 (nếu Lãnh đạo đồng ý):</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Tạm thanh toán giữa kỳ: Mỗi tháng Bên B được đề nghị tạm thanh toán tối đa 01 lần, giá trị đề nghị tối thiểu 2.000.000.000 đồng. Bên A tạm thanh toán </w:t>
            </w:r>
            <w:r>
              <w:rPr>
                <w:rFonts w:ascii="Times New Roman" w:cs="Times New Roman" w:eastAsia="Times New Roman" w:hAnsi="Times New Roman"/>
                <w:b w:val="false"/>
                <w:bCs w:val="false"/>
                <w:sz w:val="24"/>
                <w:szCs w:val="24"/>
                <w:highlight w:val="yellow"/>
              </w:rPr>
              <w:t xml:space="preserve">50</w:t>
            </w:r>
            <w:r>
              <w:rPr>
                <w:rFonts w:ascii="Times New Roman" w:cs="Times New Roman" w:eastAsia="Times New Roman" w:hAnsi="Times New Roman"/>
                <w:b w:val="false"/>
                <w:bCs w:val="false"/>
                <w:sz w:val="24"/>
                <w:szCs w:val="24"/>
              </w:rPr>
              <w:t xml:space="preserve">% giá trị khối lượng thi công chính hoàn thành được Ban chỉ huy công trường và bộ phận QS của Bên A xác nhận, sau khi trừ giá trị thu hồi tạm ứng tương ứng. Bên A xác nhận trong vòng 07 ngày và thanh toán trong vòng 07 ngày kể từ ngày xác nhận. Giá trị tạm thanh toán được khấu trừ toàn bộ vào đợt thanh toán theo đợt kế tiếp. Hồ sơ gồm: công văn đề nghị; bảng tổng hợp giá trị khối lượng hoàn thành được Bên A xác nhận; bản vẽ sơ họa phạm vi hoàn thành. Khoản tạm thanh toán không xuất hóa đơn riêng; hóa đơn xuất theo đợt thanh toán.</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Nếu Lãnh đạo đồng ý hỗ trợ dòng tiền, dùng Phương án 2, đặt ở cuối điểm a, không tạo điểm b mới, để khỏi đánh số lại các điểm sau.</w:t>
      </w:r>
    </w:p>
    <w:p>
      <w:pPr>
        <w:pStyle w:val="Heading2"/>
        <w:keepNext/>
        <w:spacing w:after="80" w:before="200"/>
      </w:pPr>
      <w:r>
        <w:rPr>
          <w:rFonts w:ascii="Times New Roman" w:cs="Times New Roman" w:eastAsia="Times New Roman" w:hAnsi="Times New Roman"/>
          <w:b/>
          <w:bCs/>
          <w:color w:val="1F3864"/>
          <w:sz w:val="26"/>
          <w:szCs w:val="26"/>
        </w:rPr>
        <w:t xml:space="preserve">4. Điều 18.3a – Phạt chậm tiến độ</w:t>
      </w:r>
    </w:p>
    <w:p>
      <w:pPr>
        <w:spacing w:after="60" w:before="0" w:line="300"/>
        <w:jc w:val="both"/>
      </w:pPr>
      <w:r>
        <w:rPr>
          <w:rFonts w:ascii="Times New Roman" w:cs="Times New Roman" w:eastAsia="Times New Roman" w:hAnsi="Times New Roman"/>
          <w:b w:val="false"/>
          <w:bCs w:val="false"/>
          <w:sz w:val="22"/>
          <w:szCs w:val="22"/>
        </w:rPr>
        <w:t xml:space="preserve">Vị trí: Điều 18.3 điểm a</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a) Trường hợp Bên B chậm hoàn thành Mốc tiến độ quan trọng quy định tại Điều 7.1 điểm b hoặc chậm so với Thời gian hoàn thành (không do lỗi của Chủ đầu tư, Bên A, bên thứ ba không thuộc trách nhiệm của Bên B hoặc sự kiện bất khả kháng), Bên B phải chịu phạt 0,1% giá trị Hợp đồng cho mỗi 01 ngày chậm của từng mốc; tổng mức phạt chậm tiến độ không vượt quá 10% giá trị Hợp đồng. Việc phạt vi phạm không loại trừ quyền yêu cầu bồi thường thiệt hại của Bên A.</w:t>
            </w:r>
          </w:p>
        </w:tc>
      </w:tr>
    </w:tbl>
    <w:p>
      <w:pPr>
        <w:spacing w:after="60" w:before="60" w:line="300"/>
        <w:jc w:val="both"/>
      </w:pPr>
      <w:r>
        <w:rPr>
          <w:rFonts w:ascii="Times New Roman" w:cs="Times New Roman" w:eastAsia="Times New Roman" w:hAnsi="Times New Roman"/>
          <w:b/>
          <w:bCs/>
          <w:sz w:val="24"/>
          <w:szCs w:val="24"/>
        </w:rPr>
        <w:t xml:space="preserve">Phương án thỏa hiệp (thêm vào cuối điểm 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Tiền phạt chậm Mốc 1, Mốc 2 được Bên A tạm giữ bằng cách khấu trừ vào các đợt thanh toán. Trường hợp Bên B hoàn thành toàn bộ công việc đúng Thời gian hoàn thành, Bên A hoàn trả số tiền phạt mốc đã tạm giữ khi thanh toán quyết toán.</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PH đã sửa 0,1% thành 0,05% mà không bật track changes. Khi phản hồi cần nêu rõ điểm này. Nếu cần nhượng, thêm câu ở Phương án thỏa hiệp.</w:t>
      </w:r>
    </w:p>
    <w:p>
      <w:pPr>
        <w:pStyle w:val="Heading2"/>
        <w:keepNext/>
        <w:spacing w:after="80" w:before="200"/>
      </w:pPr>
      <w:r>
        <w:rPr>
          <w:rFonts w:ascii="Times New Roman" w:cs="Times New Roman" w:eastAsia="Times New Roman" w:hAnsi="Times New Roman"/>
          <w:b/>
          <w:bCs/>
          <w:color w:val="1F3864"/>
          <w:sz w:val="26"/>
          <w:szCs w:val="26"/>
        </w:rPr>
        <w:t xml:space="preserve">5. Điều 17.1a(ii) – Gián đoạn thi công cục bộ</w:t>
      </w:r>
    </w:p>
    <w:p>
      <w:pPr>
        <w:spacing w:after="60" w:before="0" w:line="300"/>
        <w:jc w:val="both"/>
      </w:pPr>
      <w:r>
        <w:rPr>
          <w:rFonts w:ascii="Times New Roman" w:cs="Times New Roman" w:eastAsia="Times New Roman" w:hAnsi="Times New Roman"/>
          <w:b w:val="false"/>
          <w:bCs w:val="false"/>
          <w:sz w:val="22"/>
          <w:szCs w:val="22"/>
        </w:rPr>
        <w:t xml:space="preserve">Vị trí: Điều 17.1 điểm a mục (ii)</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(ii) Chủ đầu tư tạm dừng Hợp đồng thầu chính hoặc tạm dừng thi công Dự án theo quyết định của cơ quan nhà nước có thẩm quyền: Bên A tạm dừng Hợp đồng bằng văn bản; Bên B được gia hạn theo Điều 15.1 điểm c. Việc gián đoạn thi công cục bộ do chưa có thiết kế, mặt bằng, thay đổi thiết kế hoặc Nhà thầu khác chậm bàn giao hố đào không phải là tạm dừng Hợp đồng; Bên B phải bố trí thi công phần việc khác. Trường hợp không còn phần việc khác để thi công và gián đoạn kéo dài liên tục quá 14 ngày, Bên B được gia hạn theo Điều 15.1 điểm c và được thanh toán chi phí dừng chờ theo điểm c khoản này.</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Bản này đã là phương án thỏa hiệp. Nếu giữ nguyên bản A thì bỏ câu cuối, thay bằng: “…Bên B phải bố trí thi công phần việc khác và chỉ được xem xét gia hạn theo Điều 15.1 điểm c, chi phí dừng chờ theo điểm c khoản này.”</w:t>
      </w:r>
    </w:p>
    <w:p>
      <w:pPr>
        <w:pStyle w:val="Heading2"/>
        <w:keepNext/>
        <w:spacing w:after="80" w:before="200"/>
      </w:pPr>
      <w:r>
        <w:rPr>
          <w:rFonts w:ascii="Times New Roman" w:cs="Times New Roman" w:eastAsia="Times New Roman" w:hAnsi="Times New Roman"/>
          <w:b/>
          <w:bCs/>
          <w:color w:val="1F3864"/>
          <w:sz w:val="26"/>
          <w:szCs w:val="26"/>
        </w:rPr>
        <w:t xml:space="preserve">6. Điều 9.3a – Chi phí biện pháp bể nước</w:t>
      </w:r>
    </w:p>
    <w:p>
      <w:pPr>
        <w:spacing w:after="60" w:before="0" w:line="300"/>
        <w:jc w:val="both"/>
      </w:pPr>
      <w:r>
        <w:rPr>
          <w:rFonts w:ascii="Times New Roman" w:cs="Times New Roman" w:eastAsia="Times New Roman" w:hAnsi="Times New Roman"/>
          <w:b w:val="false"/>
          <w:bCs w:val="false"/>
          <w:sz w:val="22"/>
          <w:szCs w:val="22"/>
        </w:rPr>
        <w:t xml:space="preserve">Vị trí: Điều 9.3 điểm a, đoạn “Khối lượng bể nước sinh hoạt…”</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Khối lượng bể nước sinh hoạt, bể nước PCCC, bể nước xử lý nước thải là khối lượng tạm tính do chưa có thiết kế bản vẽ thi công. Khi có thiết kế, hai bên phối hợp thống nhất biện pháp thi công và chi phí biện pháp bổ sung chưa có trong Biểu 01 (nếu có) bằng phụ lục Hợp đồng trước khi thi công. Khối lượng thanh toán là khối lượng hoàn thành được Tư vấn giám sát xác nhận. Chi phí chung và chi phí cẩu tháp là trọn gói, không điều chỉnh.</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Quay về tinh thần bản đã thống nhất ngày 17/10 và 19/10 (“hai bên thống nhất khi có bản vẽ chi tiết”), đồng thời sửa câu lỗi “được -;” trong bản PH.</w:t>
      </w:r>
    </w:p>
    <w:p>
      <w:pPr>
        <w:pStyle w:val="Heading2"/>
        <w:keepNext/>
        <w:spacing w:after="80" w:before="200"/>
      </w:pPr>
      <w:r>
        <w:rPr>
          <w:rFonts w:ascii="Times New Roman" w:cs="Times New Roman" w:eastAsia="Times New Roman" w:hAnsi="Times New Roman"/>
          <w:b/>
          <w:bCs/>
          <w:color w:val="1F3864"/>
          <w:sz w:val="26"/>
          <w:szCs w:val="26"/>
        </w:rPr>
        <w:t xml:space="preserve">7. Điều 10.3.2d và Biểu 02 mục II.1 – Khối lượng thanh toán</w:t>
      </w:r>
    </w:p>
    <w:p>
      <w:pPr>
        <w:spacing w:after="60" w:before="0" w:line="300"/>
        <w:jc w:val="both"/>
      </w:pPr>
      <w:r>
        <w:rPr>
          <w:rFonts w:ascii="Times New Roman" w:cs="Times New Roman" w:eastAsia="Times New Roman" w:hAnsi="Times New Roman"/>
          <w:b w:val="false"/>
          <w:bCs w:val="false"/>
          <w:sz w:val="22"/>
          <w:szCs w:val="22"/>
        </w:rPr>
        <w:t xml:space="preserve">Vị trí: Điều 10.3.2 điểm d, gạch đầu dòng thứ nhất; Biểu 02 mục II, khoản 1</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bCs/>
                <w:sz w:val="24"/>
                <w:szCs w:val="24"/>
              </w:rPr>
              <w:t xml:space="preserve">Điều 10.3.2d, gạch đầu dòng thứ nhất:</w:t>
            </w:r>
          </w:p>
          <w:p>
            <w:pPr>
              <w:spacing w:after="80" w:before="0" w:line="300"/>
              <w:jc w:val="both"/>
            </w:pPr>
            <w:r>
              <w:rPr>
                <w:rFonts w:ascii="Times New Roman" w:cs="Times New Roman" w:eastAsia="Times New Roman" w:hAnsi="Times New Roman"/>
                <w:b w:val="false"/>
                <w:bCs w:val="false"/>
                <w:sz w:val="24"/>
                <w:szCs w:val="24"/>
              </w:rPr>
              <w:t xml:space="preserve">- Khối lượng thanh toán được xác định theo kích thước hình học của bản vẽ thiết kế bản vẽ thi công được phê duyệt. Bản vẽ shop drawing chỉ phục vụ thi công; khối lượng tăng thêm do shop drawing chỉ được thanh toán khi được Bên A chấp thuận bằng văn bản;</w:t>
            </w:r>
          </w:p>
          <w:p>
            <w:pPr>
              <w:spacing w:after="80" w:before="0" w:line="300"/>
              <w:jc w:val="both"/>
            </w:pPr>
            <w:r>
              <w:rPr>
                <w:rFonts w:ascii="Times New Roman" w:cs="Times New Roman" w:eastAsia="Times New Roman" w:hAnsi="Times New Roman"/>
                <w:b/>
                <w:bCs/>
                <w:sz w:val="24"/>
                <w:szCs w:val="24"/>
              </w:rPr>
              <w:t xml:space="preserve">Biểu 02 mục II, khoản 1:</w:t>
            </w:r>
          </w:p>
          <w:p>
            <w:pPr>
              <w:spacing w:after="80" w:before="0" w:line="300"/>
              <w:jc w:val="both"/>
            </w:pPr>
            <w:r>
              <w:rPr>
                <w:rFonts w:ascii="Times New Roman" w:cs="Times New Roman" w:eastAsia="Times New Roman" w:hAnsi="Times New Roman"/>
                <w:b w:val="false"/>
                <w:bCs w:val="false"/>
                <w:sz w:val="24"/>
                <w:szCs w:val="24"/>
              </w:rPr>
              <w:t xml:space="preserve">1. Khối lượng thanh toán là khối lượng hoàn thành thực tế được nghiệm thu, đo bóc theo bản vẽ thiết kế bản vẽ thi công được phê duyệt, phù hợp quy định của Nhà nước về đo bóc khối lượng xây dựng công trình; không tính hao hụt.</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Đồng ý bỏ ràng buộc “không vượt quá khối lượng Chủ đầu tư nghiệm thu” (PH đã comment), đổi lại giữ “không tính hao hụt” và căn cứ là bản vẽ thi công. Xóa luôn dòng thừa “ theo Biểu 01 [Chi tiết giá hợp đồng]” ở cuối điểm d.</w:t>
      </w:r>
    </w:p>
    <w:p>
      <w:pPr>
        <w:pStyle w:val="Heading2"/>
        <w:keepNext/>
        <w:spacing w:after="80" w:before="200"/>
      </w:pPr>
      <w:r>
        <w:rPr>
          <w:rFonts w:ascii="Times New Roman" w:cs="Times New Roman" w:eastAsia="Times New Roman" w:hAnsi="Times New Roman"/>
          <w:b/>
          <w:bCs/>
          <w:color w:val="1F3864"/>
          <w:sz w:val="26"/>
          <w:szCs w:val="26"/>
        </w:rPr>
        <w:t xml:space="preserve">8. Điều 10.3.2e – Thời hạn xác nhận hồ sơ thanh toán</w:t>
      </w:r>
    </w:p>
    <w:p>
      <w:pPr>
        <w:spacing w:after="60" w:before="0" w:line="300"/>
        <w:jc w:val="both"/>
      </w:pPr>
      <w:r>
        <w:rPr>
          <w:rFonts w:ascii="Times New Roman" w:cs="Times New Roman" w:eastAsia="Times New Roman" w:hAnsi="Times New Roman"/>
          <w:b w:val="false"/>
          <w:bCs w:val="false"/>
          <w:sz w:val="22"/>
          <w:szCs w:val="22"/>
        </w:rPr>
        <w:t xml:space="preserve">Vị trí: Điều 10.3.2 điểm e, thay 3 đoạn PH thêm (“Tổng thời gian Bên A kiểm tra…”, “Bên A sẽ kiểm tra và phản phản hồi…”, “Bên B hoàn thiện…”). Giữ nguyên các đoạn “Thời hạn thanh toán…” phía sau.</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Thời hạn xác nhận hồ sơ thanh toán: Trong vòng 07 ngày kể từ ngày nhận đủ hồ sơ đề nghị thanh toán hợp lệ theo Điều 10.3.2 điểm a, Bên A kiểm tra và xác nhận hoặc thông báo bằng văn bản các nội dung cần chỉnh sửa, bổ sung. Bên B hoàn thiện, nộp lại hồ sơ trong vòng 07 ngày kể từ ngày nhận thông báo; Bên A xác nhận trong vòng 07 ngày kể từ ngày nhận hồ sơ đã chỉnh sửa. Thời gian Bên B chỉnh sửa, bổ sung không tính vào thời hạn của Bên A.</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Giữ khung 07 + 07 ngày PH đề xuất, nhưng tính từ khi nhận đủ hồ sơ hợp lệ, và thời gian B sửa không tính cho A.</w:t>
      </w:r>
    </w:p>
    <w:p>
      <w:pPr>
        <w:pStyle w:val="Heading2"/>
        <w:keepNext/>
        <w:spacing w:after="80" w:before="200"/>
      </w:pPr>
      <w:r>
        <w:rPr>
          <w:rFonts w:ascii="Times New Roman" w:cs="Times New Roman" w:eastAsia="Times New Roman" w:hAnsi="Times New Roman"/>
          <w:b/>
          <w:bCs/>
          <w:color w:val="1F3864"/>
          <w:sz w:val="26"/>
          <w:szCs w:val="26"/>
        </w:rPr>
        <w:t xml:space="preserve">9. Điều 15.1c – Căn cứ gia hạn</w:t>
      </w:r>
    </w:p>
    <w:p>
      <w:pPr>
        <w:spacing w:after="60" w:before="0" w:line="300"/>
        <w:jc w:val="both"/>
      </w:pPr>
      <w:r>
        <w:rPr>
          <w:rFonts w:ascii="Times New Roman" w:cs="Times New Roman" w:eastAsia="Times New Roman" w:hAnsi="Times New Roman"/>
          <w:b w:val="false"/>
          <w:bCs w:val="false"/>
          <w:sz w:val="22"/>
          <w:szCs w:val="22"/>
        </w:rPr>
        <w:t xml:space="preserve">Vị trí: Điều 15.1 điểm c, toàn bộ danh sách căn cứ (từ “Thay đổi thiết kế…” đến “(vi) Tạm dừng theo Điều 17.1…”)</w:t>
      </w:r>
    </w:p>
    <w:p>
      <w:pPr>
        <w:spacing w:after="60" w:before="60" w:line="300"/>
        <w:jc w:val="both"/>
      </w:pPr>
      <w:r>
        <w:rPr>
          <w:rFonts w:ascii="Times New Roman" w:cs="Times New Roman" w:eastAsia="Times New Roman" w:hAnsi="Times New Roman"/>
          <w:b/>
          <w:bCs/>
          <w:sz w:val="24"/>
          <w:szCs w:val="24"/>
        </w:rPr>
        <w:t xml:space="preserve">Sửa thành: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val="false"/>
        </w:trPr>
        <w:tc>
          <w:tcPr>
            <w:tcW w:type="dxa" w:w="990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80" w:before="0" w:line="300"/>
              <w:jc w:val="both"/>
            </w:pPr>
            <w:r>
              <w:rPr>
                <w:rFonts w:ascii="Times New Roman" w:cs="Times New Roman" w:eastAsia="Times New Roman" w:hAnsi="Times New Roman"/>
                <w:b w:val="false"/>
                <w:bCs w:val="false"/>
                <w:sz w:val="24"/>
                <w:szCs w:val="24"/>
              </w:rPr>
              <w:t xml:space="preserve">(i) Thay đổi thiết kế, phạm vi công việc theo yêu cầu bằng văn bản của Bên A;</w:t>
            </w:r>
          </w:p>
          <w:p>
            <w:pPr>
              <w:spacing w:after="80" w:before="0" w:line="300"/>
              <w:jc w:val="both"/>
            </w:pPr>
            <w:r>
              <w:rPr>
                <w:rFonts w:ascii="Times New Roman" w:cs="Times New Roman" w:eastAsia="Times New Roman" w:hAnsi="Times New Roman"/>
                <w:b w:val="false"/>
                <w:bCs w:val="false"/>
                <w:sz w:val="24"/>
                <w:szCs w:val="24"/>
              </w:rPr>
              <w:t xml:space="preserve">(ii) Bất khả kháng theo Điều 16;</w:t>
            </w:r>
          </w:p>
          <w:p>
            <w:pPr>
              <w:spacing w:after="80" w:before="0" w:line="300"/>
              <w:jc w:val="both"/>
            </w:pPr>
            <w:r>
              <w:rPr>
                <w:rFonts w:ascii="Times New Roman" w:cs="Times New Roman" w:eastAsia="Times New Roman" w:hAnsi="Times New Roman"/>
                <w:b w:val="false"/>
                <w:bCs w:val="false"/>
                <w:sz w:val="24"/>
                <w:szCs w:val="24"/>
              </w:rPr>
              <w:t xml:space="preserve">(iii) Điều kiện thời tiết bất thường, có xác nhận của cơ quan khí tượng thủy văn và xác nhận theo nhật ký thi công;</w:t>
            </w:r>
          </w:p>
          <w:p>
            <w:pPr>
              <w:spacing w:after="80" w:before="0" w:line="300"/>
              <w:jc w:val="both"/>
            </w:pPr>
            <w:r>
              <w:rPr>
                <w:rFonts w:ascii="Times New Roman" w:cs="Times New Roman" w:eastAsia="Times New Roman" w:hAnsi="Times New Roman"/>
                <w:b w:val="false"/>
                <w:bCs w:val="false"/>
                <w:sz w:val="24"/>
                <w:szCs w:val="24"/>
              </w:rPr>
              <w:t xml:space="preserve">(iv) Bên A hoặc nhà thầu khác của Bên A gây chậm trễ, kể cả chậm bàn giao mặt bằng;</w:t>
            </w:r>
          </w:p>
          <w:p>
            <w:pPr>
              <w:spacing w:after="80" w:before="0" w:line="300"/>
              <w:jc w:val="both"/>
            </w:pPr>
            <w:r>
              <w:rPr>
                <w:rFonts w:ascii="Times New Roman" w:cs="Times New Roman" w:eastAsia="Times New Roman" w:hAnsi="Times New Roman"/>
                <w:b w:val="false"/>
                <w:bCs w:val="false"/>
                <w:sz w:val="24"/>
                <w:szCs w:val="24"/>
              </w:rPr>
              <w:t xml:space="preserve">(v) Bên A chậm tạm ứng quá thời hạn quy định tại Điều 10.3.1 khi Bên B đã nộp đủ hồ sơ hợp lệ;</w:t>
            </w:r>
          </w:p>
          <w:p>
            <w:pPr>
              <w:spacing w:after="80" w:before="0" w:line="300"/>
              <w:jc w:val="both"/>
            </w:pPr>
            <w:r>
              <w:rPr>
                <w:rFonts w:ascii="Times New Roman" w:cs="Times New Roman" w:eastAsia="Times New Roman" w:hAnsi="Times New Roman"/>
                <w:b w:val="false"/>
                <w:bCs w:val="false"/>
                <w:sz w:val="24"/>
                <w:szCs w:val="24"/>
              </w:rPr>
              <w:t xml:space="preserve">(vi) Bên A chậm phê duyệt hồ sơ kỹ thuật hợp lệ (biện pháp thi công, bản vẽ, mẫu vật liệu) quá thời hạn quy định trong Hợp đồng;</w:t>
            </w:r>
          </w:p>
          <w:p>
            <w:pPr>
              <w:spacing w:after="80" w:before="0" w:line="300"/>
              <w:jc w:val="both"/>
            </w:pPr>
            <w:r>
              <w:rPr>
                <w:rFonts w:ascii="Times New Roman" w:cs="Times New Roman" w:eastAsia="Times New Roman" w:hAnsi="Times New Roman"/>
                <w:b w:val="false"/>
                <w:bCs w:val="false"/>
                <w:sz w:val="24"/>
                <w:szCs w:val="24"/>
              </w:rPr>
              <w:t xml:space="preserve">(vii) Bên A chậm cung cấp nguồn điện thi công tại điểm đấu nối theo công suất hai bên thống nhất, quá thời gian Bên B tự bố trí nguồn dự phòng theo Điều 12.2.10 điểm b;</w:t>
            </w:r>
          </w:p>
          <w:p>
            <w:pPr>
              <w:spacing w:after="80" w:before="0" w:line="300"/>
              <w:jc w:val="both"/>
            </w:pPr>
            <w:r>
              <w:rPr>
                <w:rFonts w:ascii="Times New Roman" w:cs="Times New Roman" w:eastAsia="Times New Roman" w:hAnsi="Times New Roman"/>
                <w:b w:val="false"/>
                <w:bCs w:val="false"/>
                <w:sz w:val="24"/>
                <w:szCs w:val="24"/>
              </w:rPr>
              <w:t xml:space="preserve">(viii) Tạm dừng theo Điều 17.1 không do lỗi của Bên B.</w:t>
            </w:r>
          </w:p>
        </w:tc>
      </w:tr>
    </w:tbl>
    <w:p>
      <w:pPr>
        <w:spacing w:after="120" w:before="80" w:line="300"/>
        <w:jc w:val="both"/>
      </w:pPr>
      <w:r>
        <w:rPr>
          <w:rFonts w:ascii="Times New Roman" w:cs="Times New Roman" w:eastAsia="Times New Roman" w:hAnsi="Times New Roman"/>
          <w:b w:val="false"/>
          <w:bCs w:val="false"/>
          <w:i/>
          <w:iCs/>
          <w:sz w:val="22"/>
          <w:szCs w:val="22"/>
        </w:rPr>
        <w:t xml:space="preserve">Ghi chú: Đánh số lại từ (i) đến (viii). Bỏ căn cứ “chậm kiểm tra, phê duyệt hồ sơ thanh toán”, vì chậm thanh toán đã có chế tài tạm dừng tại Điều 17.1. Căn cứ về điện gắn với công suất đã thống nhất, không dùng “theo yêu cầu của dự án”.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2026-10-27T07:40:13.343Z</dcterms:created>
  <dcterms:modified xsi:type="dcterms:W3CDTF">2026-10-27T07:40:13.352Z</dcterms:modified>
</cp:coreProperties>
</file>

<file path=docProps/custom.xml><?xml version="1.0" encoding="utf-8"?>
<Properties xmlns="http://schemas.openxmlformats.org/officeDocument/2006/custom-properties" xmlns:vt="http://schemas.openxmlformats.org/officeDocument/2006/docPropsVTypes"/>
</file>