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4"/>
          <w:szCs w:val="24"/>
        </w:rPr>
        <w:t xml:space="preserve">CÔNG TY CP ĐẦU TƯ XÂY DỰNG VÀ KỸ THUẬT VNCN E&amp;C</w:t>
      </w:r>
    </w:p>
    <w:p>
      <w:pPr>
        <w:spacing w:after="0" w:before="0" w:line="300"/>
        <w:jc w:val="center"/>
      </w:pPr>
      <w:r>
        <w:rPr>
          <w:rFonts w:ascii="Times New Roman" w:cs="Times New Roman" w:eastAsia="Times New Roman" w:hAnsi="Times New Roman"/>
          <w:b/>
          <w:bCs/>
          <w:sz w:val="24"/>
          <w:szCs w:val="24"/>
        </w:rPr>
        <w:t xml:space="preserve">BAN CHỈ HUY DỰ ÁN NOXH YÊN SỞ</w:t>
      </w:r>
    </w:p>
    <w:p>
      <w:pPr>
        <w:spacing w:after="40" w:before="200" w:line="300"/>
        <w:jc w:val="center"/>
      </w:pPr>
      <w:r>
        <w:rPr>
          <w:rFonts w:ascii="Times New Roman" w:cs="Times New Roman" w:eastAsia="Times New Roman" w:hAnsi="Times New Roman"/>
          <w:b/>
          <w:bCs/>
          <w:sz w:val="32"/>
          <w:szCs w:val="32"/>
        </w:rPr>
        <w:t xml:space="preserve">BÁO CÁO LÃNH ĐẠO</w:t>
      </w:r>
    </w:p>
    <w:p>
      <w:pPr>
        <w:spacing w:after="40" w:before="0" w:line="300"/>
        <w:jc w:val="center"/>
      </w:pPr>
      <w:r>
        <w:rPr>
          <w:rFonts w:ascii="Times New Roman" w:cs="Times New Roman" w:eastAsia="Times New Roman" w:hAnsi="Times New Roman"/>
          <w:b/>
          <w:bCs/>
          <w:sz w:val="26"/>
          <w:szCs w:val="26"/>
        </w:rPr>
        <w:t xml:space="preserve">CÁC ĐIỀU KHOẢN CẦN LƯU Ý – HỢP ĐỒNG THI CÔNG PHẦN NGẦM VỚI PHỤC HƯNG</w:t>
      </w:r>
    </w:p>
    <w:p>
      <w:pPr>
        <w:spacing w:after="200" w:before="0" w:line="300"/>
        <w:jc w:val="center"/>
      </w:pPr>
      <w:r>
        <w:rPr>
          <w:rFonts w:ascii="Times New Roman" w:cs="Times New Roman" w:eastAsia="Times New Roman" w:hAnsi="Times New Roman"/>
          <w:b w:val="false"/>
          <w:bCs w:val="false"/>
          <w:i/>
          <w:iCs/>
          <w:sz w:val="24"/>
          <w:szCs w:val="24"/>
        </w:rPr>
        <w:t xml:space="preserve">(Theo bản Phục Hưng phản hồi ngày 26/10/2026)</w:t>
      </w:r>
    </w:p>
    <w:p>
      <w:pPr>
        <w:spacing w:after="120" w:before="0" w:line="300"/>
        <w:jc w:val="both"/>
      </w:pPr>
      <w:r>
        <w:rPr>
          <w:rFonts w:ascii="Times New Roman" w:cs="Times New Roman" w:eastAsia="Times New Roman" w:hAnsi="Times New Roman"/>
          <w:b/>
          <w:bCs/>
          <w:sz w:val="24"/>
          <w:szCs w:val="24"/>
        </w:rPr>
        <w:t xml:space="preserve">Kính gửi: Ban Tổng Giám đốc Công ty.</w:t>
      </w:r>
    </w:p>
    <w:p>
      <w:pPr>
        <w:pStyle w:val="Heading1"/>
        <w:keepNext/>
        <w:spacing w:after="120" w:before="300"/>
      </w:pPr>
      <w:r>
        <w:rPr>
          <w:rFonts w:ascii="Times New Roman" w:cs="Times New Roman" w:eastAsia="Times New Roman" w:hAnsi="Times New Roman"/>
          <w:b/>
          <w:bCs/>
          <w:color w:val="1F3864"/>
          <w:sz w:val="28"/>
          <w:szCs w:val="28"/>
        </w:rPr>
        <w:t xml:space="preserve">1. Tình hình chung</w:t>
      </w:r>
    </w:p>
    <w:p>
      <w:pPr>
        <w:spacing w:after="100" w:before="0" w:line="300"/>
        <w:jc w:val="both"/>
      </w:pPr>
      <w:r>
        <w:rPr>
          <w:rFonts w:ascii="Times New Roman" w:cs="Times New Roman" w:eastAsia="Times New Roman" w:hAnsi="Times New Roman"/>
          <w:b w:val="false"/>
          <w:bCs w:val="false"/>
          <w:sz w:val="24"/>
          <w:szCs w:val="24"/>
        </w:rPr>
        <w:t xml:space="preserve">- Ngày 26/10/2026 Phục Hưng (PH) gửi lại dự thảo HĐ, sửa trên bản VNCN E&amp;C phản hồi ngày 22/10. PH sửa 26 nội dung, kèm 14 comment.</w:t>
      </w:r>
    </w:p>
    <w:p>
      <w:pPr>
        <w:spacing w:after="100" w:before="0" w:line="300"/>
        <w:jc w:val="both"/>
      </w:pPr>
      <w:r>
        <w:rPr>
          <w:rFonts w:ascii="Times New Roman" w:cs="Times New Roman" w:eastAsia="Times New Roman" w:hAnsi="Times New Roman"/>
          <w:b w:val="false"/>
          <w:bCs w:val="false"/>
          <w:sz w:val="24"/>
          <w:szCs w:val="24"/>
        </w:rPr>
        <w:t xml:space="preserve">- PH chấp nhận phần lớn khung HĐ. Tuy nhiên PH </w:t>
      </w:r>
      <w:r>
        <w:rPr>
          <w:rFonts w:ascii="Times New Roman" w:cs="Times New Roman" w:eastAsia="Times New Roman" w:hAnsi="Times New Roman"/>
          <w:b/>
          <w:bCs/>
          <w:sz w:val="24"/>
          <w:szCs w:val="24"/>
        </w:rPr>
        <w:t xml:space="preserve">mở lại 02 điểm đã thống nhất</w:t>
      </w:r>
      <w:r>
        <w:rPr>
          <w:rFonts w:ascii="Times New Roman" w:cs="Times New Roman" w:eastAsia="Times New Roman" w:hAnsi="Times New Roman"/>
          <w:b w:val="false"/>
          <w:bCs w:val="false"/>
          <w:sz w:val="24"/>
          <w:szCs w:val="24"/>
        </w:rPr>
        <w:t xml:space="preserve"> (tạm ứng, phạt tiến độ) và </w:t>
      </w:r>
      <w:r>
        <w:rPr>
          <w:rFonts w:ascii="Times New Roman" w:cs="Times New Roman" w:eastAsia="Times New Roman" w:hAnsi="Times New Roman"/>
          <w:b/>
          <w:bCs/>
          <w:sz w:val="24"/>
          <w:szCs w:val="24"/>
        </w:rPr>
        <w:t xml:space="preserve">bổ sung cơ chế dòng tiền mới</w:t>
      </w:r>
      <w:r>
        <w:rPr>
          <w:rFonts w:ascii="Times New Roman" w:cs="Times New Roman" w:eastAsia="Times New Roman" w:hAnsi="Times New Roman"/>
          <w:b w:val="false"/>
          <w:bCs w:val="false"/>
          <w:sz w:val="24"/>
          <w:szCs w:val="24"/>
        </w:rPr>
        <w:t xml:space="preserve"> (thanh toán nhanh 70%).</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PH sửa một số nội dung KHÔNG bật track changes:</w:t>
      </w:r>
    </w:p>
    <w:p>
      <w:pPr>
        <w:spacing w:after="60" w:before="0" w:line="300"/>
        <w:jc w:val="both"/>
      </w:pPr>
      <w:r>
        <w:rPr>
          <w:rFonts w:ascii="Times New Roman" w:cs="Times New Roman" w:eastAsia="Times New Roman" w:hAnsi="Times New Roman"/>
          <w:b w:val="false"/>
          <w:bCs w:val="false"/>
          <w:sz w:val="24"/>
          <w:szCs w:val="24"/>
        </w:rPr>
        <w:t xml:space="preserve">- Mức phạt chậm tiến độ 0,1% → 0,05%/ngày;</w:t>
      </w:r>
    </w:p>
    <w:p>
      <w:pPr>
        <w:spacing w:after="60" w:before="0" w:line="300"/>
        <w:jc w:val="both"/>
      </w:pPr>
      <w:r>
        <w:rPr>
          <w:rFonts w:ascii="Times New Roman" w:cs="Times New Roman" w:eastAsia="Times New Roman" w:hAnsi="Times New Roman"/>
          <w:b w:val="false"/>
          <w:bCs w:val="false"/>
          <w:sz w:val="24"/>
          <w:szCs w:val="24"/>
        </w:rPr>
        <w:t xml:space="preserve">- Toàn bộ điều khoản “thanh toán nhanh”;</w:t>
      </w:r>
    </w:p>
    <w:p>
      <w:pPr>
        <w:spacing w:after="60" w:before="0" w:line="300"/>
        <w:jc w:val="both"/>
      </w:pPr>
      <w:r>
        <w:rPr>
          <w:rFonts w:ascii="Times New Roman" w:cs="Times New Roman" w:eastAsia="Times New Roman" w:hAnsi="Times New Roman"/>
          <w:b w:val="false"/>
          <w:bCs w:val="false"/>
          <w:sz w:val="24"/>
          <w:szCs w:val="24"/>
        </w:rPr>
        <w:t xml:space="preserve">- Một phần số tiền tạm ứng;</w:t>
      </w:r>
    </w:p>
    <w:p>
      <w:pPr>
        <w:spacing w:after="60" w:before="0" w:line="300"/>
        <w:jc w:val="both"/>
      </w:pPr>
      <w:r>
        <w:rPr>
          <w:rFonts w:ascii="Times New Roman" w:cs="Times New Roman" w:eastAsia="Times New Roman" w:hAnsi="Times New Roman"/>
          <w:b w:val="false"/>
          <w:bCs w:val="false"/>
          <w:sz w:val="24"/>
          <w:szCs w:val="24"/>
        </w:rPr>
        <w:t xml:space="preserve">- Cụm “thanh toán theo mốc” tại Biểu 02.</w:t>
      </w:r>
    </w:p>
    <w:p>
      <w:pPr>
        <w:spacing w:after="60" w:before="0" w:line="300"/>
        <w:jc w:val="both"/>
      </w:pPr>
      <w:r>
        <w:rPr>
          <w:rFonts w:ascii="Times New Roman" w:cs="Times New Roman" w:eastAsia="Times New Roman" w:hAnsi="Times New Roman"/>
          <w:b w:val="false"/>
          <w:bCs w:val="false"/>
          <w:sz w:val="24"/>
          <w:szCs w:val="24"/>
        </w:rPr>
        <w:t xml:space="preserve">Khi phản hồi, Ban sẽ nêu rõ các nội dung này để PH xác nhận.</w:t>
      </w:r>
    </w:p>
    <w:p>
      <w:pPr>
        <w:spacing w:after="100" w:before="0" w:line="300"/>
        <w:jc w:val="both"/>
      </w:pPr>
      <w:r>
        <w:rPr>
          <w:rFonts w:ascii="Times New Roman" w:cs="Times New Roman" w:eastAsia="Times New Roman" w:hAnsi="Times New Roman"/>
          <w:b w:val="false"/>
          <w:bCs w:val="false"/>
          <w:sz w:val="24"/>
          <w:szCs w:val="24"/>
        </w:rPr>
        <w:t xml:space="preserve">- Chi tiết từng sửa đổi, câu chữ đề xuất: xem “Báo cáo chi tiết các sửa đổi của Phục Hưng bản 26/10” kèm theo.</w:t>
      </w:r>
    </w:p>
    <w:p>
      <w:pPr>
        <w:pStyle w:val="Heading1"/>
        <w:keepNext/>
        <w:spacing w:after="120" w:before="300"/>
      </w:pPr>
      <w:r>
        <w:rPr>
          <w:rFonts w:ascii="Times New Roman" w:cs="Times New Roman" w:eastAsia="Times New Roman" w:hAnsi="Times New Roman"/>
          <w:b/>
          <w:bCs/>
          <w:color w:val="1F3864"/>
          <w:sz w:val="28"/>
          <w:szCs w:val="28"/>
        </w:rPr>
        <w:t xml:space="preserve">2. Các nội dung cần Lãnh đạo quyết định</w:t>
      </w:r>
    </w:p>
    <w:tbl>
      <w:tblPr>
        <w:tblW w:type="dxa" w:w="9870"/>
        <w:tblBorders>
          <w:top w:val="single" w:color="auto" w:sz="4"/>
          <w:left w:val="single" w:color="auto" w:sz="4"/>
          <w:bottom w:val="single" w:color="auto" w:sz="4"/>
          <w:right w:val="single" w:color="auto" w:sz="4"/>
          <w:insideH w:val="single" w:color="auto" w:sz="4"/>
          <w:insideV w:val="single" w:color="auto" w:sz="4"/>
        </w:tblBorders>
      </w:tblPr>
      <w:tblGrid>
        <w:gridCol w:w="420"/>
        <w:gridCol w:w="1500"/>
        <w:gridCol w:w="1700"/>
        <w:gridCol w:w="2050"/>
        <w:gridCol w:w="2300"/>
        <w:gridCol w:w="1900"/>
      </w:tblGrid>
      <w:tr>
        <w:trPr>
          <w:tblHeader/>
        </w:trPr>
        <w:tc>
          <w:tcPr>
            <w:tcW w:type="dxa" w:w="4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Nội dung</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VNCN E&amp;C (22/10)</w:t>
            </w:r>
          </w:p>
        </w:tc>
        <w:tc>
          <w:tcPr>
            <w:tcW w:type="dxa" w:w="20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PH đề xuất (26/10)</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Ảnh hưởng đến Bên A</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Đề xuất của Ban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Tiến độ (7.1)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Để trống, chờ lãnh đạo chốt</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Tổng 320 ngày; Mốc 1 (sàn B2) 195 ngày; Mốc 2 (nắp hầm ±0.0) 280 ngày</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Ngày bắt đầu tính theo điều kiện đến sau cùng (7.2), nên thời điểm hoàn thành thực tế muộn hơn. Phải khớp tiến độ phần ngầm A cam kết với CĐT.</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Lãnh đạo chốt số ngày. Đề nghị chốt thêm ngày bắt đầu dự kiến.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Tạm ứng (10.3.1)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20% = 40,06 tỷ (PH đã đồng ý ngày 21/10)</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25% = 50,08 tỷ</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A ứng thêm 10,02 tỷ trước khi CĐT tạm ứng hoặc thanh toán tương ứng.</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20%.</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Thanh toán nhanh (10.3.2b mới)</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có</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Hàng tháng A trả </w:t>
            </w:r>
            <w:r>
              <w:rPr>
                <w:rFonts w:ascii="Times New Roman" w:cs="Times New Roman" w:eastAsia="Times New Roman" w:hAnsi="Times New Roman"/>
                <w:b/>
                <w:bCs/>
                <w:sz w:val="18"/>
                <w:szCs w:val="18"/>
              </w:rPr>
              <w:t xml:space="preserve">70%</w:t>
            </w:r>
            <w:r>
              <w:rPr>
                <w:rFonts w:ascii="Times New Roman" w:cs="Times New Roman" w:eastAsia="Times New Roman" w:hAnsi="Times New Roman"/>
                <w:b w:val="false"/>
                <w:bCs w:val="false"/>
                <w:sz w:val="18"/>
                <w:szCs w:val="18"/>
              </w:rPr>
              <w:t xml:space="preserve"> sản lượng (CHT xác nhận), </w:t>
            </w:r>
            <w:r>
              <w:rPr>
                <w:rFonts w:ascii="Times New Roman" w:cs="Times New Roman" w:eastAsia="Times New Roman" w:hAnsi="Times New Roman"/>
                <w:b/>
                <w:bCs/>
                <w:sz w:val="18"/>
                <w:szCs w:val="18"/>
              </w:rPr>
              <w:t xml:space="preserve">không trừ tạm ứng</w:t>
            </w:r>
            <w:r>
              <w:rPr>
                <w:rFonts w:ascii="Times New Roman" w:cs="Times New Roman" w:eastAsia="Times New Roman" w:hAnsi="Times New Roman"/>
                <w:b w:val="false"/>
                <w:bCs w:val="false"/>
                <w:sz w:val="18"/>
                <w:szCs w:val="18"/>
              </w:rPr>
              <w:t xml:space="preserve">; duyệt 03 ngày, trả 07 ngày; tối thiểu 2 tỷ/lần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A chi trước khi CĐT thanh toán cho A. Kiểm soát khối lượng yếu, dễ trùng hóa đơn.</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chấp nhận. Nếu cần hỗ trợ dòng tiền: tối đa 50%, có QS xác nhận, trừ tạm ứng, không xuất hóa đơn riêng.</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Phạt chậm tiến độ (18.3)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0,1%/ngày, phạt tại 2 mốc và tổng tiến độ, trần 10%</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Chỉ phạt tổng tiến độ, </w:t>
            </w:r>
            <w:r>
              <w:rPr>
                <w:rFonts w:ascii="Times New Roman" w:cs="Times New Roman" w:eastAsia="Times New Roman" w:hAnsi="Times New Roman"/>
                <w:b/>
                <w:bCs/>
                <w:sz w:val="18"/>
                <w:szCs w:val="18"/>
              </w:rPr>
              <w:t xml:space="preserve">0,05%/ngày</w:t>
            </w:r>
            <w:r>
              <w:rPr>
                <w:rFonts w:ascii="Times New Roman" w:cs="Times New Roman" w:eastAsia="Times New Roman" w:hAnsi="Times New Roman"/>
                <w:b w:val="false"/>
                <w:bCs w:val="false"/>
                <w:sz w:val="18"/>
                <w:szCs w:val="18"/>
              </w:rPr>
              <w:t xml:space="preserve"> (sửa không track)</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Chậm 200 ngày mới chạm trần 10%, nên các mốc không còn chế tài. Điều khoản chấm dứt khi phạt đạt mức tối đa (17.2b(iii)) mất tác dụng.</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0,1% và phạt theo 2 mốc. Thỏa hiệp: tạm giữ tiền phạt mốc, hoàn trả nếu về đích đúng tổng tiến độ.</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Gián đoạn cục bộ (17.1a(ii))</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phải tạm dừng; B bố trí làm phần việc khác</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Thiếu mặt bằng, thiết kế, chậm bàn giao hố đào </w:t>
            </w:r>
            <w:r>
              <w:rPr>
                <w:rFonts w:ascii="Times New Roman" w:cs="Times New Roman" w:eastAsia="Times New Roman" w:hAnsi="Times New Roman"/>
                <w:b/>
                <w:bCs/>
                <w:sz w:val="18"/>
                <w:szCs w:val="18"/>
              </w:rPr>
              <w:t xml:space="preserve">là tạm dừng</w:t>
            </w:r>
            <w:r>
              <w:rPr>
                <w:rFonts w:ascii="Times New Roman" w:cs="Times New Roman" w:eastAsia="Times New Roman" w:hAnsi="Times New Roman"/>
                <w:b w:val="false"/>
                <w:bCs w:val="false"/>
                <w:sz w:val="18"/>
                <w:szCs w:val="18"/>
              </w:rPr>
              <w:t xml:space="preserve">, được tính chi phí dừng chờ</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Công tác đất do nhà thầu khác làm, bàn giao cuốn chiếu nên gián đoạn gần như chắc chắn xảy ra. Đây là rủi ro chi phí dừng chờ lớn cho A.</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bản A. Thỏa hiệp: chỉ tính dừng chờ khi không còn việc khác và gián đoạn liên tục &gt; 14 ngày.</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Chi phí biện pháp bể nước (9.3a)</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Xác định trên cơ sở dự toán A với CĐT</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Theo biện pháp nhà thầu đề xuất, không theo dự toán CĐT. PH ghi “</w:t>
            </w:r>
            <w:r>
              <w:rPr>
                <w:rFonts w:ascii="Times New Roman" w:cs="Times New Roman" w:eastAsia="Times New Roman" w:hAnsi="Times New Roman"/>
                <w:b/>
                <w:bCs/>
                <w:sz w:val="18"/>
                <w:szCs w:val="18"/>
              </w:rPr>
              <w:t xml:space="preserve">đã được thống nhất</w:t>
            </w:r>
            <w:r>
              <w:rPr>
                <w:rFonts w:ascii="Times New Roman" w:cs="Times New Roman" w:eastAsia="Times New Roman" w:hAnsi="Times New Roman"/>
                <w:b w:val="false"/>
                <w:bCs w:val="false"/>
                <w:sz w:val="18"/>
                <w:szCs w:val="18"/>
              </w:rPr>
              <w:t xml:space="preserve">”</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có trần chi phí; A có thể trả cao hơn mức CĐT duyệt cho A.</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Đề nghị lãnh đạo xác nhận đã thống nhất với PH hay chưa.</w:t>
            </w:r>
            <w:r>
              <w:rPr>
                <w:rFonts w:ascii="Times New Roman" w:cs="Times New Roman" w:eastAsia="Times New Roman" w:hAnsi="Times New Roman"/>
                <w:b w:val="false"/>
                <w:bCs w:val="false"/>
                <w:sz w:val="18"/>
                <w:szCs w:val="18"/>
              </w:rPr>
              <w:t xml:space="preserve"> Nếu chưa: B lập, A duyệt, không vượt giá trị CĐT chấp thuận.</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Khối lượng thanh toán (10.3.2d, Biểu 02)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Theo TKBVTC được A, TVGS duyệt; không vượt khối lượng CĐT nghiệm thu; không tính hao hụt</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Theo </w:t>
            </w:r>
            <w:r>
              <w:rPr>
                <w:rFonts w:ascii="Times New Roman" w:cs="Times New Roman" w:eastAsia="Times New Roman" w:hAnsi="Times New Roman"/>
                <w:b/>
                <w:bCs/>
                <w:sz w:val="18"/>
                <w:szCs w:val="18"/>
              </w:rPr>
              <w:t xml:space="preserve">shop drawing</w:t>
            </w:r>
            <w:r>
              <w:rPr>
                <w:rFonts w:ascii="Times New Roman" w:cs="Times New Roman" w:eastAsia="Times New Roman" w:hAnsi="Times New Roman"/>
                <w:b w:val="false"/>
                <w:bCs w:val="false"/>
                <w:sz w:val="18"/>
                <w:szCs w:val="18"/>
              </w:rPr>
              <w:t xml:space="preserve">; bỏ ràng buộc CĐT và bỏ “không tính hao hụt”</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Khối lượng shop drawing lớn hơn TKBVTC mà CĐT thanh toán cho A, nên A chịu phần chênh.</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căn cứ TKBVTC; có thể bỏ ràng buộc “không vượt khối lượng CĐT” để đổi lấy “không tính hao hụt”.</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Thời hạn xác nhận hồ sơ thanh toán (10.3.2e)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15 ngày từ khi nhận đủ hồ sơ hợp lệ; thời gian B sửa không tính</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Tổng 14 ngày từ khi BCH nhận hồ sơ, gồm cả 07 ngày B sửa</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 nộp thiếu hoặc sửa chậm thì A vẫn bị coi là chậm, dẫn tới B đòi gia hạn tiến độ và tạm dừng.</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Chấp nhận 07 + 07 + 07 ngày, tính từ khi nhận đủ hồ sơ hợp lệ; thời gian B sửa không tính.</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Căn cứ gia hạn mới (15.1c)</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có</w:t>
            </w:r>
          </w:p>
        </w:tc>
        <w:tc>
          <w:tcPr>
            <w:tcW w:type="dxa" w:w="20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Thêm: A chậm tạm ứng; A chậm duyệt hồ sơ thanh toán; A chậm cấp điện “đảm bảo công suất theo yêu cầu dự án”</w:t>
            </w:r>
          </w:p>
        </w:tc>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Gia hạn vì chậm duyệt hồ sơ thanh toán là bất thường. Điều kiện về điện chưa định lượng (hiện 250A, nâng 500A sau).</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Chấp nhận căn cứ chậm tạm ứng. Căn cứ về điện ghi rõ công suất thống nhất. Bỏ căn cứ hồ sơ thanh toán.</w:t>
            </w:r>
          </w:p>
        </w:tc>
      </w:tr>
    </w:tbl>
    <w:p>
      <w:pPr>
        <w:pStyle w:val="Heading1"/>
        <w:keepNext/>
        <w:spacing w:after="120" w:before="300"/>
      </w:pPr>
      <w:r>
        <w:rPr>
          <w:rFonts w:ascii="Times New Roman" w:cs="Times New Roman" w:eastAsia="Times New Roman" w:hAnsi="Times New Roman"/>
          <w:b/>
          <w:bCs/>
          <w:color w:val="1F3864"/>
          <w:sz w:val="28"/>
          <w:szCs w:val="28"/>
        </w:rPr>
        <w:t xml:space="preserve">3. Các nội dung PH sửa có thể chấp nhận</w:t>
      </w:r>
    </w:p>
    <w:p>
      <w:pPr>
        <w:spacing w:after="100" w:before="0" w:line="300"/>
        <w:jc w:val="both"/>
      </w:pPr>
      <w:r>
        <w:rPr>
          <w:rFonts w:ascii="Times New Roman" w:cs="Times New Roman" w:eastAsia="Times New Roman" w:hAnsi="Times New Roman"/>
          <w:b w:val="false"/>
          <w:bCs w:val="false"/>
          <w:sz w:val="24"/>
          <w:szCs w:val="24"/>
        </w:rPr>
        <w:t xml:space="preserve">- Thanh toán quyết toán trong 30 ngày </w:t>
      </w:r>
      <w:r>
        <w:rPr>
          <w:rFonts w:ascii="Times New Roman" w:cs="Times New Roman" w:eastAsia="Times New Roman" w:hAnsi="Times New Roman"/>
          <w:b/>
          <w:bCs/>
          <w:sz w:val="24"/>
          <w:szCs w:val="24"/>
        </w:rPr>
        <w:t xml:space="preserve">kể từ ngày A xác nhận quyết toán</w:t>
      </w:r>
      <w:r>
        <w:rPr>
          <w:rFonts w:ascii="Times New Roman" w:cs="Times New Roman" w:eastAsia="Times New Roman" w:hAnsi="Times New Roman"/>
          <w:b w:val="false"/>
          <w:bCs w:val="false"/>
          <w:sz w:val="24"/>
          <w:szCs w:val="24"/>
        </w:rPr>
        <w:t xml:space="preserve"> (có lợi cho A).</w:t>
      </w:r>
    </w:p>
    <w:p>
      <w:pPr>
        <w:spacing w:after="100" w:before="0" w:line="300"/>
        <w:jc w:val="both"/>
      </w:pPr>
      <w:r>
        <w:rPr>
          <w:rFonts w:ascii="Times New Roman" w:cs="Times New Roman" w:eastAsia="Times New Roman" w:hAnsi="Times New Roman"/>
          <w:b w:val="false"/>
          <w:bCs w:val="false"/>
          <w:sz w:val="24"/>
          <w:szCs w:val="24"/>
        </w:rPr>
        <w:t xml:space="preserve">- Hồ sơ thanh toán theo đợt dùng bản vẽ </w:t>
      </w:r>
      <w:r>
        <w:rPr>
          <w:rFonts w:ascii="Times New Roman" w:cs="Times New Roman" w:eastAsia="Times New Roman" w:hAnsi="Times New Roman"/>
          <w:b/>
          <w:bCs/>
          <w:sz w:val="24"/>
          <w:szCs w:val="24"/>
        </w:rPr>
        <w:t xml:space="preserve">sơ họa hoàn công</w:t>
      </w:r>
      <w:r>
        <w:rPr>
          <w:rFonts w:ascii="Times New Roman" w:cs="Times New Roman" w:eastAsia="Times New Roman" w:hAnsi="Times New Roman"/>
          <w:b w:val="false"/>
          <w:bCs w:val="false"/>
          <w:sz w:val="24"/>
          <w:szCs w:val="24"/>
        </w:rPr>
        <w:t xml:space="preserve">. Quyết toán vẫn theo hoàn công được duyệt, và vẫn cần biên bản nghiệm thu có TVGS xác nhận.</w:t>
      </w:r>
    </w:p>
    <w:p>
      <w:pPr>
        <w:spacing w:after="100" w:before="0" w:line="300"/>
        <w:jc w:val="both"/>
      </w:pPr>
      <w:r>
        <w:rPr>
          <w:rFonts w:ascii="Times New Roman" w:cs="Times New Roman" w:eastAsia="Times New Roman" w:hAnsi="Times New Roman"/>
          <w:b w:val="false"/>
          <w:bCs w:val="false"/>
          <w:sz w:val="24"/>
          <w:szCs w:val="24"/>
        </w:rPr>
        <w:t xml:space="preserve">- Chi phí chung, cẩu tháp trọn gói thanh toán theo tỷ lệ khối lượng hoàn thành. Phần còn lại trả khi quyết toán, giảm tương ứng nếu cắt giảm phạm vi.</w:t>
      </w:r>
    </w:p>
    <w:p>
      <w:pPr>
        <w:spacing w:after="100" w:before="0" w:line="300"/>
        <w:jc w:val="both"/>
      </w:pPr>
      <w:r>
        <w:rPr>
          <w:rFonts w:ascii="Times New Roman" w:cs="Times New Roman" w:eastAsia="Times New Roman" w:hAnsi="Times New Roman"/>
          <w:b w:val="false"/>
          <w:bCs w:val="false"/>
          <w:sz w:val="24"/>
          <w:szCs w:val="24"/>
        </w:rPr>
        <w:t xml:space="preserve">- B đề nghị nghiệm thu qua A, A đôn đốc CĐT, TVGS. Thời gian chờ CĐT nghiệm thu không phải căn cứ tính dừng chờ.</w:t>
      </w:r>
    </w:p>
    <w:p>
      <w:pPr>
        <w:spacing w:after="100" w:before="0" w:line="300"/>
        <w:jc w:val="both"/>
      </w:pPr>
      <w:r>
        <w:rPr>
          <w:rFonts w:ascii="Times New Roman" w:cs="Times New Roman" w:eastAsia="Times New Roman" w:hAnsi="Times New Roman"/>
          <w:b w:val="false"/>
          <w:bCs w:val="false"/>
          <w:sz w:val="24"/>
          <w:szCs w:val="24"/>
        </w:rPr>
        <w:t xml:space="preserve">- Phối hợp thêm với nhà thầu đầu cọc (4.2); ngân hàng trả bảo lãnh trong 05 ngày làm việc (Biểu 06); nhắc nhở lần đầu cho lỗi an toàn nhẹ (Biểu 05).</w:t>
      </w:r>
    </w:p>
    <w:p>
      <w:pPr>
        <w:spacing w:after="100" w:before="0" w:line="300"/>
        <w:jc w:val="both"/>
      </w:pPr>
      <w:r>
        <w:rPr>
          <w:rFonts w:ascii="Times New Roman" w:cs="Times New Roman" w:eastAsia="Times New Roman" w:hAnsi="Times New Roman"/>
          <w:b w:val="false"/>
          <w:bCs w:val="false"/>
          <w:sz w:val="24"/>
          <w:szCs w:val="24"/>
        </w:rPr>
        <w:t xml:space="preserve">- Cung cấp cho PH trích thỏa thuận liên danh hoặc văn bản ủy quyền để VNCN E&amp;C ký HĐ (PH đề nghị).</w:t>
      </w:r>
    </w:p>
    <w:p>
      <w:pPr>
        <w:pStyle w:val="Heading1"/>
        <w:keepNext/>
        <w:spacing w:after="120" w:before="300"/>
      </w:pPr>
      <w:r>
        <w:rPr>
          <w:rFonts w:ascii="Times New Roman" w:cs="Times New Roman" w:eastAsia="Times New Roman" w:hAnsi="Times New Roman"/>
          <w:b/>
          <w:bCs/>
          <w:color w:val="1F3864"/>
          <w:sz w:val="28"/>
          <w:szCs w:val="28"/>
        </w:rPr>
        <w:t xml:space="preserve">4. Các nội dung PH đề nghị qua comment (chưa sửa vào HĐ)</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17.2b(i):</w:t>
      </w:r>
      <w:r>
        <w:rPr>
          <w:rFonts w:ascii="Times New Roman" w:cs="Times New Roman" w:eastAsia="Times New Roman" w:hAnsi="Times New Roman"/>
          <w:b w:val="false"/>
          <w:bCs w:val="false"/>
          <w:sz w:val="24"/>
          <w:szCs w:val="24"/>
        </w:rPr>
        <w:t xml:space="preserve"> nâng thời hạn A chấm dứt khi B ngừng thi công từ 14 ngày lên “bằng thời gian của Bên B” (45 ngày). Đề xuất giữ 14 ngày, nhượng tối đa 21 ngày.</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15.4(ii):</w:t>
      </w:r>
      <w:r>
        <w:rPr>
          <w:rFonts w:ascii="Times New Roman" w:cs="Times New Roman" w:eastAsia="Times New Roman" w:hAnsi="Times New Roman"/>
          <w:b w:val="false"/>
          <w:bCs w:val="false"/>
          <w:sz w:val="24"/>
          <w:szCs w:val="24"/>
        </w:rPr>
        <w:t xml:space="preserve"> muốn được dừng công việc phát sinh nếu A chưa duyệt đơn giá. Đề xuất không chấp nhận dừng; quá 14 ngày chưa thống nhất thì A tạm thanh toán 70% theo đơn giá A tạm xác định.</w:t>
      </w:r>
    </w:p>
    <w:p>
      <w:pPr>
        <w:spacing w:after="100" w:before="0" w:line="300"/>
        <w:jc w:val="both"/>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Biểu 05:</w:t>
      </w:r>
      <w:r>
        <w:rPr>
          <w:rFonts w:ascii="Times New Roman" w:cs="Times New Roman" w:eastAsia="Times New Roman" w:hAnsi="Times New Roman"/>
          <w:b w:val="false"/>
          <w:bCs w:val="false"/>
          <w:sz w:val="24"/>
          <w:szCs w:val="24"/>
        </w:rPr>
        <w:t xml:space="preserve"> đề nghị giảm mức phạt an toàn. Đề xuất giữ mức tiền, chỉ nhắc nhở lần đầu với lỗi nhẹ.</w:t>
      </w:r>
    </w:p>
    <w:p>
      <w:pPr>
        <w:pStyle w:val="Heading1"/>
        <w:keepNext/>
        <w:spacing w:after="120" w:before="300"/>
      </w:pPr>
      <w:r>
        <w:rPr>
          <w:rFonts w:ascii="Times New Roman" w:cs="Times New Roman" w:eastAsia="Times New Roman" w:hAnsi="Times New Roman"/>
          <w:b/>
          <w:bCs/>
          <w:color w:val="1F3864"/>
          <w:sz w:val="28"/>
          <w:szCs w:val="28"/>
        </w:rPr>
        <w:t xml:space="preserve">5. Tổng hợp các điều khoản chính của HĐ (hiện trạng sau bản PH 26/10)</w:t>
      </w:r>
    </w:p>
    <w:tbl>
      <w:tblPr>
        <w:tblW w:type="dxa" w:w="9870"/>
        <w:tblBorders>
          <w:top w:val="single" w:color="auto" w:sz="4"/>
          <w:left w:val="single" w:color="auto" w:sz="4"/>
          <w:bottom w:val="single" w:color="auto" w:sz="4"/>
          <w:right w:val="single" w:color="auto" w:sz="4"/>
          <w:insideH w:val="single" w:color="auto" w:sz="4"/>
          <w:insideV w:val="single" w:color="auto" w:sz="4"/>
        </w:tblBorders>
      </w:tblPr>
      <w:tblGrid>
        <w:gridCol w:w="420"/>
        <w:gridCol w:w="1900"/>
        <w:gridCol w:w="4250"/>
        <w:gridCol w:w="3300"/>
      </w:tblGrid>
      <w:tr>
        <w:trPr>
          <w:tblHeader/>
        </w:trPr>
        <w:tc>
          <w:tcPr>
            <w:tcW w:type="dxa" w:w="42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Điều khoản</w:t>
            </w:r>
          </w:p>
        </w:tc>
        <w:tc>
          <w:tcPr>
            <w:tcW w:type="dxa" w:w="42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Nội dung hiện tại</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18"/>
                <w:szCs w:val="18"/>
              </w:rPr>
              <w:t xml:space="preserve">Lưu ý</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Giá HĐ (9.1, 9.3)</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Đơn giá cố định, không trượt giá. 216.339.068.583 đ gồm VAT 8% (trước VAT 200.313.952.392 đ). Khối lượng thanh toán theo thực tế.</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Nguồn hạ thế 300A (484 tr) chưa có trong giá; chi phí biện pháp bể nước chưa có trần (mục 2.6).</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Tạm ứng (10.3.1)</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PH: 25%. Thu hồi từ đợt đầu, hết khi đạt 80% giá trị HĐ. Bảo lãnh tạm ứng 100%.</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Giữ 20% = 40.062.790.478 đ.</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Thanh toán (10.3.2)</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Hàng tháng 90% khối lượng hoàn thành; trả trong 14 ngày từ khi A xác nhận. PH thêm thanh toán nhanh 70%.</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Mục 2.3, 2.7, 2.8.</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Quyết toán (19.1, 10.3.2e)</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Nộp trong 30 ngày; A xác nhận 30 ngày; trả 95% (100% nếu có bảo lãnh bảo hành) trong 30 ngày từ khi A xác nhận.</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Không back-to-back với quyết toán CĐT.</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Bảo hành (8.2, 14.3)</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24 tháng, chống thấm 36 tháng; giữ 5% hoặc bảo lãnh 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Biên bản 17/10 ghi 36 tháng – PH chưa đồng ý.</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6</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Bảo lãnh (14)</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Thực hiện HĐ 5% (nộp trong 14 ngày); tạm ứng 100%; bảo hành 5%. Không có bảo lãnh thanh toán của A.</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Ngân hàng ACB, TPBank ngoài danh sách chuẩn của Công ty, phải nêu trong tờ trình.</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7</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Bảo hiểm (8.1)</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CĐT mua bảo hiểm công trình; B mua bảo hiểm thiết bị, người lao động.</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Thiếu: B chịu phần bảo hiểm không chi trả (miễn thường) và bảo hiểm TNDS bên thứ ba (Biểu 03 đã giao B).</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8</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Phạt (18)</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Tổng phạt ≤ 10%. PH: chỉ phạt tổng tiến độ, 0,05%/ngày.</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Mục 2.4.</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9</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Tạm dừng (17.1)</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 được tạm dừng khi A chậm thanh toán quá 30 ngày (không cần báo trước) hoặc không xác nhận hồ sơ quá 28 ngày. Dừng chờ trả khi liên tục &gt; 14 ngày.</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PH mở rộng tạm dừng cho gián đoạn cục bộ (mục 2.5).</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Chấm dứt (17.2)</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A chấm dứt: B ngừng 14 ngày, chậm &gt; 45 ngày… B chấm dứt: A không thanh toán &gt; 60 ngày, dừng &gt; 45 ngày do lỗi A. HĐ thầu chính chấm dứt thì A chấm dứt, không bồi thường.</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PH đề nghị nâng 14 ngày lên 45 ngày (mục 4).</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Phát sinh (15.4, 15.5)</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B thi công ngay theo văn bản của A, không chờ duyệt giá; A phản hồi đơn giá trong 14 ngày.</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PH đề nghị được dừng nếu chưa duyệt giá (mục 4).</w:t>
            </w:r>
          </w:p>
        </w:tc>
      </w:tr>
      <w:tr>
        <w:trPr>
          <w:cantSplit/>
        </w:trPr>
        <w:tc>
          <w:tcPr>
            <w:tcW w:type="dxa" w:w="42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18"/>
                <w:szCs w:val="18"/>
              </w:rPr>
              <w:t xml:space="preserve">12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18"/>
                <w:szCs w:val="18"/>
              </w:rPr>
              <w:t xml:space="preserve">Điện thi công (7.2, 12.2.10)</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A cấp đến điểm đấu nối; B dự phòng tối đa 03 ngày/lần mất điện lưới.</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18"/>
                <w:szCs w:val="18"/>
              </w:rPr>
              <w:t xml:space="preserve">Hiện 250A, nâng 500A; cần ghi công suất vào HĐ để tránh tranh chấp gia hạn.</w:t>
            </w:r>
          </w:p>
        </w:tc>
      </w:tr>
    </w:tbl>
    <w:p>
      <w:pPr>
        <w:pStyle w:val="Heading1"/>
        <w:keepNext/>
        <w:spacing w:after="120" w:before="300"/>
      </w:pPr>
      <w:r>
        <w:rPr>
          <w:rFonts w:ascii="Times New Roman" w:cs="Times New Roman" w:eastAsia="Times New Roman" w:hAnsi="Times New Roman"/>
          <w:b/>
          <w:bCs/>
          <w:color w:val="1F3864"/>
          <w:sz w:val="28"/>
          <w:szCs w:val="28"/>
        </w:rPr>
        <w:t xml:space="preserve">6. Kiến nghị</w:t>
      </w:r>
    </w:p>
    <w:p>
      <w:pPr>
        <w:spacing w:after="100" w:before="0" w:line="300"/>
        <w:jc w:val="both"/>
      </w:pPr>
      <w:r>
        <w:rPr>
          <w:rFonts w:ascii="Times New Roman" w:cs="Times New Roman" w:eastAsia="Times New Roman" w:hAnsi="Times New Roman"/>
          <w:b w:val="false"/>
          <w:bCs w:val="false"/>
          <w:sz w:val="24"/>
          <w:szCs w:val="24"/>
        </w:rPr>
        <w:t xml:space="preserve">- Lãnh đạo cho ý kiến 09 nội dung tại Mục 2, ưu tiên: tiến độ, tạm ứng, thanh toán nhanh, phạt tiến độ, chi phí biện pháp bể nước.</w:t>
      </w:r>
    </w:p>
    <w:p>
      <w:pPr>
        <w:spacing w:after="100" w:before="0" w:line="300"/>
        <w:jc w:val="both"/>
      </w:pPr>
      <w:r>
        <w:rPr>
          <w:rFonts w:ascii="Times New Roman" w:cs="Times New Roman" w:eastAsia="Times New Roman" w:hAnsi="Times New Roman"/>
          <w:b w:val="false"/>
          <w:bCs w:val="false"/>
          <w:sz w:val="24"/>
          <w:szCs w:val="24"/>
        </w:rPr>
        <w:t xml:space="preserve">- Ban phản hồi PH bằng track changes trên file PH gửi, không để comment nội bộ. Ban sẽ nêu rõ 04 nội dung PH sửa không track, đề nghị PH xác nhận.</w:t>
      </w:r>
    </w:p>
    <w:p>
      <w:pPr>
        <w:spacing w:after="100" w:before="0" w:line="300"/>
        <w:jc w:val="both"/>
      </w:pPr>
      <w:r>
        <w:rPr>
          <w:rFonts w:ascii="Times New Roman" w:cs="Times New Roman" w:eastAsia="Times New Roman" w:hAnsi="Times New Roman"/>
          <w:b w:val="false"/>
          <w:bCs w:val="false"/>
          <w:sz w:val="24"/>
          <w:szCs w:val="24"/>
        </w:rPr>
        <w:t xml:space="preserve">- Sau khi chốt, cập nhật tờ trình phê duyệt giá trị và điều kiện HĐ phần ngầm.</w:t>
      </w:r>
    </w:p>
    <w:p>
      <w:pPr>
        <w:spacing w:after="100" w:before="120" w:line="300"/>
        <w:jc w:val="both"/>
      </w:pPr>
      <w:r>
        <w:rPr>
          <w:rFonts w:ascii="Times New Roman" w:cs="Times New Roman" w:eastAsia="Times New Roman" w:hAnsi="Times New Roman"/>
          <w:b w:val="false"/>
          <w:bCs w:val="false"/>
          <w:i/>
          <w:iCs/>
          <w:sz w:val="24"/>
          <w:szCs w:val="24"/>
        </w:rPr>
        <w:t xml:space="preserve">Kính trình Lãnh đạo xem xét, cho ý kiến./.</w:t>
      </w:r>
    </w:p>
    <w:sectPr>
      <w:footerReference w:type="default" r:id="rId7"/>
      <w:pgSz w:w="11906" w:h="16838" w:orient="portrait"/>
      <w:pgMar w:top="1000" w:right="9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Times New Roman" w:cs="Times New Roman" w:eastAsia="Times New Roman" w:hAnsi="Times New Roman"/>
      <w:b/>
      <w:bCs/>
      <w:sz w:val="28"/>
      <w:szCs w:val="28"/>
    </w:rPr>
  </w:style>
  <w:style w:type="paragraph" w:styleId="Heading2">
    <w:name w:val="Heading 2"/>
    <w:basedOn w:val="Normal"/>
    <w:next w:val="Normal"/>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2026-10-27T02:14:45.742Z</dcterms:created>
  <dcterms:modified xsi:type="dcterms:W3CDTF">2026-10-27T02:14:45.742Z</dcterms:modified>
</cp:coreProperties>
</file>

<file path=docProps/custom.xml><?xml version="1.0" encoding="utf-8"?>
<Properties xmlns="http://schemas.openxmlformats.org/officeDocument/2006/custom-properties" xmlns:vt="http://schemas.openxmlformats.org/officeDocument/2006/docPropsVTypes"/>
</file>