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C461E0" w:rsidRPr="00A33992" w14:paraId="1813FBB5" w14:textId="77777777">
        <w:tblPrEx>
          <w:tblCellMar>
            <w:top w:w="0" w:type="dxa"/>
            <w:bottom w:w="0" w:type="dxa"/>
          </w:tblCellMar>
        </w:tblPrEx>
        <w:tc>
          <w:tcPr>
            <w:tcW w:w="4675" w:type="dxa"/>
            <w:tcBorders>
              <w:top w:val="none" w:sz="0" w:space="0" w:color="FFFFFF"/>
              <w:left w:val="none" w:sz="0" w:space="0" w:color="FFFFFF"/>
              <w:bottom w:val="none" w:sz="0" w:space="0" w:color="FFFFFF"/>
              <w:right w:val="none" w:sz="0" w:space="0" w:color="FFFFFF"/>
            </w:tcBorders>
          </w:tcPr>
          <w:p w14:paraId="5C2C3537" w14:textId="77777777" w:rsidR="00C461E0" w:rsidRPr="00A33992" w:rsidRDefault="00000000">
            <w:pPr>
              <w:spacing w:line="300" w:lineRule="auto"/>
              <w:jc w:val="center"/>
              <w:rPr>
                <w:sz w:val="26"/>
                <w:szCs w:val="26"/>
              </w:rPr>
            </w:pPr>
            <w:r w:rsidRPr="00A33992">
              <w:rPr>
                <w:b/>
                <w:bCs/>
                <w:sz w:val="26"/>
                <w:szCs w:val="26"/>
              </w:rPr>
              <w:t>LIÊN DANH CHỦ ĐẦU TƯ IFT – TIỀN PHONG</w:t>
            </w:r>
          </w:p>
          <w:p w14:paraId="27025AFF" w14:textId="77777777" w:rsidR="00C461E0" w:rsidRPr="00A33992" w:rsidRDefault="00000000">
            <w:pPr>
              <w:spacing w:after="160" w:line="300" w:lineRule="auto"/>
              <w:jc w:val="center"/>
              <w:rPr>
                <w:sz w:val="26"/>
                <w:szCs w:val="26"/>
              </w:rPr>
            </w:pPr>
            <w:r w:rsidRPr="00A33992">
              <w:rPr>
                <w:b/>
                <w:bCs/>
                <w:sz w:val="26"/>
                <w:szCs w:val="26"/>
              </w:rPr>
              <w:t>Ban QLDA Yên Sở</w:t>
            </w:r>
          </w:p>
          <w:p w14:paraId="20699E36" w14:textId="77777777" w:rsidR="00C461E0" w:rsidRPr="00A33992" w:rsidRDefault="00000000">
            <w:pPr>
              <w:spacing w:line="300" w:lineRule="auto"/>
              <w:jc w:val="center"/>
              <w:rPr>
                <w:sz w:val="26"/>
                <w:szCs w:val="26"/>
              </w:rPr>
            </w:pPr>
            <w:r w:rsidRPr="00A33992">
              <w:rPr>
                <w:sz w:val="26"/>
                <w:szCs w:val="26"/>
              </w:rPr>
              <w:t>Số:     /2026/TTr-BQLDA</w:t>
            </w:r>
          </w:p>
        </w:tc>
        <w:tc>
          <w:tcPr>
            <w:tcW w:w="4675" w:type="dxa"/>
            <w:tcBorders>
              <w:top w:val="none" w:sz="0" w:space="0" w:color="FFFFFF"/>
              <w:left w:val="none" w:sz="0" w:space="0" w:color="FFFFFF"/>
              <w:bottom w:val="none" w:sz="0" w:space="0" w:color="FFFFFF"/>
              <w:right w:val="none" w:sz="0" w:space="0" w:color="FFFFFF"/>
            </w:tcBorders>
          </w:tcPr>
          <w:p w14:paraId="0EE75297" w14:textId="77777777" w:rsidR="00C461E0" w:rsidRPr="00A33992" w:rsidRDefault="00000000">
            <w:pPr>
              <w:spacing w:line="300" w:lineRule="auto"/>
              <w:jc w:val="center"/>
              <w:rPr>
                <w:sz w:val="26"/>
                <w:szCs w:val="26"/>
              </w:rPr>
            </w:pPr>
            <w:r w:rsidRPr="00A33992">
              <w:rPr>
                <w:b/>
                <w:bCs/>
                <w:sz w:val="26"/>
                <w:szCs w:val="26"/>
              </w:rPr>
              <w:t>CỘNG HÒA XÃ HỘI CHỦ NGHĨA VIỆT NAM</w:t>
            </w:r>
          </w:p>
          <w:p w14:paraId="5B581D95" w14:textId="77777777" w:rsidR="00C461E0" w:rsidRPr="00A33992" w:rsidRDefault="00000000">
            <w:pPr>
              <w:spacing w:after="160" w:line="300" w:lineRule="auto"/>
              <w:jc w:val="center"/>
              <w:rPr>
                <w:sz w:val="26"/>
                <w:szCs w:val="26"/>
              </w:rPr>
            </w:pPr>
            <w:r w:rsidRPr="00A33992">
              <w:rPr>
                <w:b/>
                <w:bCs/>
                <w:sz w:val="26"/>
                <w:szCs w:val="26"/>
              </w:rPr>
              <w:t>Độc lập – Tự do – Hạnh phúc</w:t>
            </w:r>
          </w:p>
          <w:p w14:paraId="5E73B5D8" w14:textId="77777777" w:rsidR="00C461E0" w:rsidRPr="00A33992" w:rsidRDefault="00000000">
            <w:pPr>
              <w:spacing w:line="300" w:lineRule="auto"/>
              <w:jc w:val="center"/>
              <w:rPr>
                <w:sz w:val="26"/>
                <w:szCs w:val="26"/>
              </w:rPr>
            </w:pPr>
            <w:r w:rsidRPr="00A33992">
              <w:rPr>
                <w:i/>
                <w:iCs/>
                <w:sz w:val="26"/>
                <w:szCs w:val="26"/>
              </w:rPr>
              <w:t>Hà Nội, ngày     tháng     năm 2026</w:t>
            </w:r>
          </w:p>
        </w:tc>
      </w:tr>
    </w:tbl>
    <w:p w14:paraId="51AC193B" w14:textId="77777777" w:rsidR="00C461E0" w:rsidRPr="00A33992" w:rsidRDefault="00C461E0">
      <w:pPr>
        <w:spacing w:after="200" w:line="300" w:lineRule="auto"/>
        <w:jc w:val="both"/>
        <w:rPr>
          <w:sz w:val="26"/>
          <w:szCs w:val="26"/>
        </w:rPr>
      </w:pPr>
    </w:p>
    <w:p w14:paraId="5250DB67" w14:textId="77777777" w:rsidR="00C461E0" w:rsidRPr="00A33992" w:rsidRDefault="00000000">
      <w:pPr>
        <w:spacing w:after="120" w:line="300" w:lineRule="auto"/>
        <w:jc w:val="center"/>
        <w:rPr>
          <w:sz w:val="26"/>
          <w:szCs w:val="26"/>
        </w:rPr>
      </w:pPr>
      <w:r w:rsidRPr="00A33992">
        <w:rPr>
          <w:b/>
          <w:bCs/>
          <w:sz w:val="26"/>
          <w:szCs w:val="26"/>
        </w:rPr>
        <w:t>TỜ TRÌNH</w:t>
      </w:r>
    </w:p>
    <w:p w14:paraId="02FDD8A3" w14:textId="736B89E4" w:rsidR="00C461E0" w:rsidRPr="00A33992" w:rsidRDefault="00000000">
      <w:pPr>
        <w:spacing w:after="80" w:line="300" w:lineRule="auto"/>
        <w:jc w:val="center"/>
        <w:rPr>
          <w:i/>
          <w:iCs/>
          <w:sz w:val="26"/>
          <w:szCs w:val="26"/>
        </w:rPr>
      </w:pPr>
      <w:r>
        <w:rPr>
          <w:strike/>
          <w:color w:val="C00000"/>
        </w:rPr>
        <w:t>(V/v: Đề nghị phê duyệt chủ trương đàm phán, ký kết Phụ lục Hợp đồng số 03 sửa đổi, bổ sung Khoản 9.5 Điều 9 Hợp đồng Tổng thầu thi công xây dựng số 01/2026/HĐTTXL/LDIFT-TP &amp; LD VNCNEC-VH về tạm ứng và thanh toán )</w:t>
      </w:r>
    </w:p>
    <w:p>
      <w:pPr>
        <w:spacing w:after="120"/>
      </w:pPr>
      <w:r>
        <w:rPr>
          <w:b w:val="0"/>
          <w:bCs w:val="0"/>
          <w:sz w:val="26"/>
          <w:szCs w:val="26"/>
          <w:highlight w:val="cyan"/>
        </w:rPr>
        <w:t>(V/v: Đề nghị phê duyệt chủ trương đàm phán, ký kết Phụ lục Hợp đồng số 03 sửa đổi, bổ sung Khoản 9.5 Điều 9 Hợp đồng gốc theo cơ chế tạm ứng 20% giá trị từng gói công việc trên cơ sở dự toán, thanh toán theo phiếu giá có giá trị khối lượng hoàn thành tối thiểu 10.000.000.000 đồng và mức thanh toán tối đa 95% giá trị khối lượng hoàn thành.)</w:t>
      </w:r>
    </w:p>
    <w:p w14:paraId="5F6C8D00" w14:textId="77777777" w:rsidR="00C461E0" w:rsidRPr="00B133A6" w:rsidRDefault="00000000">
      <w:pPr>
        <w:spacing w:after="240" w:line="300" w:lineRule="auto"/>
        <w:jc w:val="center"/>
        <w:rPr>
          <w:b/>
          <w:bCs/>
          <w:sz w:val="26"/>
          <w:szCs w:val="26"/>
        </w:rPr>
      </w:pPr>
      <w:r w:rsidRPr="00A33992">
        <w:rPr>
          <w:b/>
          <w:bCs/>
          <w:sz w:val="26"/>
          <w:szCs w:val="26"/>
        </w:rPr>
        <w:t xml:space="preserve">Dự án: Xây dựng nhà ở </w:t>
      </w:r>
      <w:r w:rsidRPr="00B133A6">
        <w:rPr>
          <w:b/>
          <w:bCs/>
          <w:sz w:val="26"/>
          <w:szCs w:val="26"/>
        </w:rPr>
        <w:t>cho lực lượng vũ trang Công an nhân dân” tại các ô đất C3-ODK3 và C3-ODK4 thuộc quy hoạch phân khu đô thị H2-4, phường Yên Sở, Thành phố Hà Nội</w:t>
      </w:r>
    </w:p>
    <w:p>
      <w:pPr>
        <w:spacing w:after="120"/>
      </w:pPr>
      <w:r>
        <w:rPr>
          <w:b w:val="0"/>
          <w:bCs w:val="0"/>
          <w:sz w:val="26"/>
          <w:szCs w:val="26"/>
          <w:highlight w:val="cyan"/>
        </w:rPr>
        <w:t>Kính gửi: Ban Lãnh đạo Liên danh Chủ đầu tư (Hội đồng Quản lý dự án).</w:t>
      </w:r>
    </w:p>
    <w:p w14:paraId="178958A0" w14:textId="77777777" w:rsidR="00B133A6" w:rsidRPr="00B133A6" w:rsidRDefault="00B133A6" w:rsidP="00B133A6">
      <w:pPr>
        <w:jc w:val="both"/>
        <w:rPr>
          <w:i/>
          <w:iCs/>
          <w:sz w:val="26"/>
          <w:szCs w:val="26"/>
        </w:rPr>
      </w:pPr>
      <w:r w:rsidRPr="00B133A6">
        <w:rPr>
          <w:i/>
          <w:iCs/>
          <w:sz w:val="26"/>
          <w:szCs w:val="26"/>
        </w:rPr>
        <w:t xml:space="preserve">Căn cứ: </w:t>
      </w:r>
    </w:p>
    <w:p w14:paraId="0B19B3FE" w14:textId="22755DB9" w:rsidR="00B133A6" w:rsidRPr="00B133A6" w:rsidRDefault="00B133A6" w:rsidP="00B133A6">
      <w:pPr>
        <w:ind w:left="360"/>
        <w:rPr>
          <w:i/>
          <w:iCs/>
          <w:sz w:val="26"/>
          <w:szCs w:val="26"/>
        </w:rPr>
      </w:pPr>
      <w:r>
        <w:rPr>
          <w:strike/>
          <w:color w:val="C00000"/>
        </w:rPr>
        <w:t>- Căn cứ công tác triển khai thi công Dự án NOXH Yên Sở.</w:t>
      </w:r>
    </w:p>
    <w:p>
      <w:pPr>
        <w:spacing w:after="120"/>
      </w:pPr>
      <w:r>
        <w:rPr>
          <w:b w:val="0"/>
          <w:bCs w:val="0"/>
          <w:sz w:val="26"/>
          <w:szCs w:val="26"/>
          <w:highlight w:val="cyan"/>
        </w:rPr>
        <w:t>- Căn cứ Luật Xây dựng số 135/2025/QH15 ngày 10/12/2025;</w:t>
        <w:br/>
        <w:t>- Căn cứ Nghị định số 210/2026/NĐ-CP ngày 15/6/2026 của Chính phủ quy định chi tiết và hướng dẫn thi hành một số điều của Luật Xây dựng về hợp đồng xây dựng;</w:t>
        <w:br/>
        <w:t>- Căn cứ Nghị định số 206/2026/NĐ-CP ngày 15/6/2026 của Chính phủ về quản lý chi phí đầu tư xây dựng;</w:t>
        <w:br/>
        <w:t>- Căn cứ Nghị định số 193/2026/NĐ-CP ngày 01/6/2026 của Chính phủ quy định về quyết toán vốn đầu tư dự án.</w:t>
      </w:r>
    </w:p>
    <w:p w14:paraId="780D5B73" w14:textId="77777777" w:rsidR="00B133A6" w:rsidRPr="00B133A6" w:rsidRDefault="00B133A6" w:rsidP="00B133A6">
      <w:pPr>
        <w:ind w:left="360"/>
        <w:rPr>
          <w:i/>
          <w:iCs/>
          <w:sz w:val="26"/>
          <w:szCs w:val="26"/>
        </w:rPr>
      </w:pPr>
      <w:r w:rsidRPr="00B133A6">
        <w:rPr>
          <w:i/>
          <w:iCs/>
          <w:sz w:val="26"/>
          <w:szCs w:val="26"/>
        </w:rPr>
        <w:t xml:space="preserve">- </w:t>
      </w:r>
      <w:r w:rsidRPr="00B133A6">
        <w:rPr>
          <w:i/>
          <w:iCs/>
          <w:sz w:val="26"/>
          <w:szCs w:val="26"/>
        </w:rPr>
        <w:t>Căn cứ Hợp đồng Tổng thầu thi công xây dựng số 01/2026/HĐTTXL/LDIFT-TP &amp;</w:t>
      </w:r>
    </w:p>
    <w:p w14:paraId="54AFE9F1" w14:textId="77777777" w:rsidR="00B133A6" w:rsidRPr="00B133A6" w:rsidRDefault="00B133A6" w:rsidP="00B133A6">
      <w:pPr>
        <w:ind w:left="360"/>
        <w:rPr>
          <w:i/>
          <w:iCs/>
          <w:sz w:val="26"/>
          <w:szCs w:val="26"/>
        </w:rPr>
      </w:pPr>
      <w:r w:rsidRPr="00B133A6">
        <w:rPr>
          <w:i/>
          <w:iCs/>
          <w:sz w:val="26"/>
          <w:szCs w:val="26"/>
        </w:rPr>
        <w:t>LD VNCNEC-VH ngày 16/7/2026 ký kết giữa Liên danh Chủ đầu tư và Liên danh Tổng</w:t>
      </w:r>
    </w:p>
    <w:p w14:paraId="741ABDC9" w14:textId="75B24FE5" w:rsidR="00B133A6" w:rsidRPr="00B133A6" w:rsidRDefault="00B133A6" w:rsidP="00B133A6">
      <w:pPr>
        <w:ind w:left="360"/>
        <w:rPr>
          <w:i/>
          <w:iCs/>
          <w:sz w:val="26"/>
          <w:szCs w:val="26"/>
        </w:rPr>
      </w:pPr>
      <w:r w:rsidRPr="00B133A6">
        <w:rPr>
          <w:i/>
          <w:iCs/>
          <w:sz w:val="26"/>
          <w:szCs w:val="26"/>
        </w:rPr>
        <w:t>thầu VNCN E&amp;C – Việt Hưng (sau đây gọi tắt là “Hợp đồng gốc”).</w:t>
      </w:r>
    </w:p>
    <w:p w14:paraId="40EFAFCC" w14:textId="23A71B38" w:rsidR="00B133A6" w:rsidRPr="00B133A6" w:rsidRDefault="00B133A6" w:rsidP="00B133A6">
      <w:pPr>
        <w:ind w:left="360"/>
        <w:rPr>
          <w:i/>
          <w:iCs/>
          <w:sz w:val="26"/>
          <w:szCs w:val="26"/>
        </w:rPr>
      </w:pPr>
      <w:r>
        <w:rPr>
          <w:strike/>
          <w:color w:val="C00000"/>
        </w:rPr>
        <w:t>- Căn cứ đề nghị của Chủ đầu tư về việc sửa đổi điều khoản thanh toán tại Khoản 9.5 Điều 9 Hợp đồng gốc thông qua ký Phụ lục Hợp đồng số 03.</w:t>
      </w:r>
    </w:p>
    <w:p>
      <w:pPr>
        <w:spacing w:after="120"/>
      </w:pPr>
      <w:r>
        <w:rPr>
          <w:b w:val="0"/>
          <w:bCs w:val="0"/>
          <w:sz w:val="26"/>
          <w:szCs w:val="26"/>
          <w:highlight w:val="cyan"/>
        </w:rPr>
        <w:t>- Căn cứ thỏa thuận giữa Chủ đầu tư (Liên danh CĐT) và Nhà thầu (Liên danh Tổng thầu VNCN E&amp;C – Việt Hưng) về việc sửa đổi, bổ sung điều khoản thanh toán tại Khoản 9.5 Điều 9 Hợp đồng gốc thông qua ký Phụ lục Hợp đồng số 03.</w:t>
      </w:r>
    </w:p>
    <w:p w14:paraId="264AF64B" w14:textId="24D76C3F" w:rsidR="00B133A6" w:rsidRDefault="00B133A6" w:rsidP="00B133A6">
      <w:pPr>
        <w:ind w:left="360"/>
        <w:rPr>
          <w:i/>
          <w:iCs/>
          <w:sz w:val="26"/>
          <w:szCs w:val="26"/>
        </w:rPr>
      </w:pPr>
      <w:r>
        <w:rPr>
          <w:i/>
          <w:iCs/>
          <w:sz w:val="26"/>
          <w:szCs w:val="26"/>
        </w:rPr>
        <w:t xml:space="preserve">- </w:t>
      </w:r>
      <w:r w:rsidRPr="00B133A6">
        <w:rPr>
          <w:i/>
          <w:iCs/>
          <w:sz w:val="26"/>
          <w:szCs w:val="26"/>
        </w:rPr>
        <w:t>Căn cứ tình hình thực tế triển khai thi công, nhu cầu tạm ứng, thanh toán và quản trị dòng tiền thực hiện Dự án.</w:t>
      </w:r>
    </w:p>
    <w:p w14:paraId="4965EA0C" w14:textId="77777777" w:rsidR="00B133A6" w:rsidRPr="00B133A6" w:rsidRDefault="00B133A6" w:rsidP="00B133A6">
      <w:pPr>
        <w:ind w:left="360"/>
        <w:rPr>
          <w:i/>
          <w:iCs/>
          <w:sz w:val="26"/>
          <w:szCs w:val="26"/>
        </w:rPr>
      </w:pPr>
    </w:p>
    <w:p w14:paraId="32F8B92E" w14:textId="427BE69D" w:rsidR="00A33992" w:rsidRPr="00A33992" w:rsidRDefault="00A33992" w:rsidP="00A33992">
      <w:pPr>
        <w:spacing w:after="240" w:line="300" w:lineRule="auto"/>
        <w:rPr>
          <w:sz w:val="26"/>
          <w:szCs w:val="26"/>
        </w:rPr>
      </w:pPr>
      <w:r>
        <w:rPr>
          <w:strike/>
          <w:color w:val="C00000"/>
        </w:rPr>
        <w:t>THÔNG TIN CHÍNH CỦA PHỤ LỤC HỢP ĐỒNG 03:</w:t>
      </w:r>
    </w:p>
    <w:p>
      <w:pPr>
        <w:spacing w:after="120"/>
      </w:pPr>
      <w:r>
        <w:rPr>
          <w:b/>
          <w:bCs/>
          <w:sz w:val="26"/>
          <w:szCs w:val="26"/>
          <w:highlight w:val="cyan"/>
        </w:rPr>
        <w:t>NỘI DUNG CHI TIẾT ĐỀ NGHỊ PHÊ DUYỆT</w:t>
      </w:r>
    </w:p>
    <w:p w14:paraId="3121B971" w14:textId="77777777" w:rsidR="00A33992" w:rsidRPr="00A33992" w:rsidRDefault="00A33992" w:rsidP="00A33992">
      <w:pPr>
        <w:pStyle w:val="ListParagraph"/>
        <w:numPr>
          <w:ilvl w:val="0"/>
          <w:numId w:val="2"/>
        </w:numPr>
        <w:spacing w:before="120" w:after="120"/>
        <w:ind w:left="360"/>
        <w:jc w:val="both"/>
        <w:rPr>
          <w:b/>
          <w:sz w:val="26"/>
          <w:szCs w:val="26"/>
        </w:rPr>
      </w:pPr>
      <w:r>
        <w:rPr>
          <w:strike/>
          <w:color w:val="C00000"/>
        </w:rPr>
        <w:t>Nội dung chi tiết</w:t>
      </w:r>
    </w:p>
    <w:p>
      <w:pPr>
        <w:spacing w:after="120"/>
      </w:pPr>
      <w:r>
        <w:rPr>
          <w:b/>
          <w:bCs/>
          <w:sz w:val="26"/>
          <w:szCs w:val="26"/>
          <w:highlight w:val="cyan"/>
        </w:rPr>
        <w:t>1. SỰ CẦN THIẾT SỬA ĐỔI ĐIỀU KHOẢN THANH TOÁN</w:t>
      </w:r>
    </w:p>
    <w:p w14:paraId="75D3E503" w14:textId="6B8A8DA9" w:rsidR="00A33992" w:rsidRPr="00A33992" w:rsidRDefault="00A33992" w:rsidP="00A33992">
      <w:pPr>
        <w:ind w:left="360"/>
        <w:rPr>
          <w:sz w:val="26"/>
          <w:szCs w:val="26"/>
        </w:rPr>
      </w:pPr>
      <w:r>
        <w:rPr>
          <w:rFonts w:ascii="Times New Roman" w:hAnsi="Times New Roman" w:cs="Times New Roman"/>
          <w:sz w:val="26"/>
          <w:szCs w:val="26"/>
        </w:rPr>
        <w:t xml:space="preserve">Hợp đồng gốc hiện quy định thanh toán theo các mốc giai đoạn tại Khoản 9.5 Điều 9 (kết cấu móng đến cốt +0.000; kết cấu đến hết sàn tầng 10; kết cấu đến hết sàn tầng mái; xây thô, trát; hoàn thiện, lắp đặt thiết bị; quyết toán). Thời gian giữa các mốc dài, thời điểm hoàn thành từng mốc khó xác định chính xác, </w:t>
      </w:r>
      <w:r>
        <w:rPr>
          <w:rFonts w:ascii="Times New Roman" w:hAnsi="Times New Roman" w:cs="Times New Roman"/>
          <w:sz w:val="26"/>
          <w:szCs w:val="26"/>
          <w:strike w:val="1"/>
          <w:color w:val="C00000"/>
        </w:rPr>
        <w:t xml:space="preserve">chưa phù hợp với tiến độ thi công thực tế và nhu cầu giải ngân, dòng tiền của BAN QLDA Yên Sở tại công trường.</w:t>
      </w:r>
      <w:r>
        <w:rPr>
          <w:rFonts w:ascii="Times New Roman" w:hAnsi="Times New Roman" w:cs="Times New Roman"/>
          <w:sz w:val="26"/>
          <w:szCs w:val="26"/>
          <w:highlight w:val="cyan"/>
        </w:rPr>
        <w:t xml:space="preserve">không phù hợp với tiến độ thi công thực tế, ảnh hưởng đến dòng tiền thi công của Nhà thầu và tiến độ giải ngân của Ban QLDA Yên Sở.</w:t>
      </w:r>
    </w:p>
    <w:p w14:paraId="5D05906F" w14:textId="77777777" w:rsidR="00A33992" w:rsidRPr="00A33992" w:rsidRDefault="00A33992" w:rsidP="00A33992">
      <w:pPr>
        <w:ind w:left="360"/>
        <w:rPr>
          <w:sz w:val="26"/>
          <w:szCs w:val="26"/>
        </w:rPr>
      </w:pPr>
      <w:r w:rsidRPr="00A33992">
        <w:rPr>
          <w:sz w:val="26"/>
          <w:szCs w:val="26"/>
        </w:rPr>
        <w:t>Giá trị Hợp đồng gốc hiện được xác định tạm tính trên cơ sở suất đầu tư theo đơn vị diện tích (đ/m2 sàn), chưa có bảng chi tiết khối lượng – đơn giá, nên chưa đủ căn cứ xác nhận khối lượng và giá trị thanh toán định kỳ theo khối lượng thi công thực tế đã hoàn thành.</w:t>
      </w:r>
    </w:p>
    <w:p w14:paraId="3982E557" w14:textId="77DC48C9" w:rsidR="00A33992" w:rsidRDefault="00A33992" w:rsidP="00A33992">
      <w:pPr>
        <w:ind w:left="360"/>
        <w:rPr>
          <w:sz w:val="26"/>
          <w:szCs w:val="26"/>
        </w:rPr>
      </w:pPr>
      <w:r>
        <w:rPr>
          <w:rFonts w:ascii="Times New Roman" w:hAnsi="Times New Roman" w:cs="Times New Roman"/>
          <w:sz w:val="26"/>
          <w:szCs w:val="26"/>
          <w:strike w:val="1"/>
          <w:color w:val="C00000"/>
        </w:rPr>
        <w:t xml:space="preserve">Dự toán các Gói thầu hiện đang được lập trên cơ sở hồ sơ thiết kế chưa được phê duyệt chính thức.</w:t>
      </w:r>
      <w:r>
        <w:rPr>
          <w:rFonts w:ascii="Times New Roman" w:hAnsi="Times New Roman" w:cs="Times New Roman"/>
          <w:sz w:val="26"/>
          <w:szCs w:val="26"/>
          <w:highlight w:val="cyan"/>
        </w:rPr>
        <w:t xml:space="preserve">Dự toán các gói công việc được lập trên cơ sở hồ sơ thiết kế đã được phê duyệt, nhưng chưa được thẩm tra, phê duyệt theo trình tự của dự toán chính thức.</w:t>
      </w:r>
      <w:r>
        <w:rPr>
          <w:rFonts w:ascii="Times New Roman" w:hAnsi="Times New Roman" w:cs="Times New Roman"/>
          <w:sz w:val="26"/>
          <w:szCs w:val="26"/>
        </w:rPr>
        <w:t xml:space="preserve"> </w:t>
      </w:r>
      <w:r>
        <w:rPr>
          <w:rFonts w:ascii="Times New Roman" w:hAnsi="Times New Roman" w:cs="Times New Roman"/>
          <w:sz w:val="26"/>
          <w:szCs w:val="26"/>
          <w:strike w:val="1"/>
          <w:color w:val="C00000"/>
        </w:rPr>
        <w:t xml:space="preserve">Để bảo đảm tiến độ thi công và tính khả thi của cơ chế tài chính tại công trường, Chủ đầu tư đề nghị sửa đổi điều khoản thanh toán theo hướng: tạm ứng theo Gói thầu và thanh toán theo phiếu giá trên cơ sở khối lượng hoàn thành thực tế, sử dụng Dự toán tạm thời có điều kiện trong thời gian Dự toán chính thức chưa được phê duyệt, quyết toán theo Dự toán chính thức.</w:t>
      </w:r>
      <w:r>
        <w:rPr>
          <w:rFonts w:ascii="Times New Roman" w:hAnsi="Times New Roman" w:cs="Times New Roman"/>
          <w:sz w:val="26"/>
          <w:szCs w:val="26"/>
          <w:highlight w:val="cyan"/>
        </w:rPr>
        <w:t xml:space="preserve">Do đó, cần thiết sửa đổi điều khoản thanh toán theo hướng: tạm ứng theo từng gói công việc trên cơ sở dự toán; thanh toán theo phiếu giá trên cơ sở khối lượng hoàn thành thực tế; sử dụng dự toán tạm thời trong thời gian dự toán chính thức chưa được phê duyệt và quyết toán theo dự toán chính thức.</w:t>
      </w:r>
    </w:p>
    <w:p>
      <w:pPr>
        <w:spacing w:after="120"/>
      </w:pPr>
      <w:r>
        <w:rPr>
          <w:b w:val="0"/>
          <w:bCs w:val="0"/>
          <w:sz w:val="26"/>
          <w:szCs w:val="26"/>
          <w:highlight w:val="cyan"/>
        </w:rPr>
        <w:t>Ba vướng mắc nêu trên là nguyên nhân trực tiếp khiến việc tạm ứng, thanh toán theo Hợp đồng gốc không thể triển khai trên thực tế; do đó cần thay thế bằng cơ chế tạm ứng, thanh toán quy định tại Mục 2 và Mục 3 của Tờ trình này.</w:t>
      </w:r>
    </w:p>
    <w:p w14:paraId="55DDA2CC" w14:textId="77777777" w:rsidR="003A6D14" w:rsidRPr="00A33992" w:rsidRDefault="003A6D14" w:rsidP="00A33992">
      <w:pPr>
        <w:ind w:left="360"/>
        <w:rPr>
          <w:sz w:val="26"/>
          <w:szCs w:val="26"/>
        </w:rPr>
      </w:pPr>
    </w:p>
    <w:p w14:paraId="6DA50D79" w14:textId="77777777" w:rsidR="00A33992" w:rsidRPr="00A33992" w:rsidRDefault="00A33992" w:rsidP="00A33992">
      <w:pPr>
        <w:pStyle w:val="ListParagraph"/>
        <w:numPr>
          <w:ilvl w:val="0"/>
          <w:numId w:val="2"/>
        </w:numPr>
        <w:spacing w:before="120" w:after="120"/>
        <w:ind w:left="360"/>
        <w:jc w:val="both"/>
        <w:rPr>
          <w:b/>
          <w:sz w:val="26"/>
          <w:szCs w:val="26"/>
        </w:rPr>
      </w:pPr>
      <w:r>
        <w:rPr>
          <w:strike/>
          <w:color w:val="C00000"/>
        </w:rPr>
        <w:t>Đề nghị/ Đề xuất</w:t>
      </w:r>
    </w:p>
    <w:p>
      <w:pPr>
        <w:spacing w:after="120"/>
      </w:pPr>
      <w:r>
        <w:rPr>
          <w:b/>
          <w:bCs/>
          <w:sz w:val="26"/>
          <w:szCs w:val="26"/>
          <w:highlight w:val="cyan"/>
        </w:rPr>
        <w:t>2. NỘI DUNG ĐỀ NGHỊ PHÊ DUYỆT</w:t>
      </w:r>
    </w:p>
    <w:p w14:paraId="7002D71C" w14:textId="1574956E" w:rsidR="00A33992" w:rsidRPr="00A33992" w:rsidRDefault="00A33992" w:rsidP="00A33992">
      <w:pPr>
        <w:ind w:left="360"/>
        <w:rPr>
          <w:sz w:val="26"/>
          <w:szCs w:val="26"/>
        </w:rPr>
      </w:pPr>
      <w:r>
        <w:rPr>
          <w:strike/>
          <w:color w:val="C00000"/>
        </w:rPr>
        <w:t>Ban QLDA Yên Sở kính đề nghị Lãnh đạo Liên danh CĐT xem xét, phê duyệt chủ trương để các phòng ban liên quan tiến hành đàm phán, hoàn thiện nội dung và ký kết Phụ lục Hợp đồng số 03 với Chủ đầu tư theo các nguyên tắc nêu tại Mục 3 dưới đây, làm cơ sở triển khai tạm ứng, thanh toán cho các Gói thầu thuộc Dự án NOXH Yên Sở (các tòa CT1.2, CT2.1, CT2.2, CT2.3), thay thế phương thức thanh toán theo mốc giai đoạn hiện hành tại Khoản 9.5 Điều 9 Hợp đồng gốc.</w:t>
      </w:r>
    </w:p>
    <w:p>
      <w:pPr>
        <w:spacing w:after="120"/>
      </w:pPr>
      <w:r>
        <w:rPr>
          <w:b w:val="0"/>
          <w:bCs w:val="0"/>
          <w:sz w:val="26"/>
          <w:szCs w:val="26"/>
          <w:highlight w:val="cyan"/>
        </w:rPr>
        <w:t>Ban QLDA Yên Sở kính đề nghị Ban Lãnh đạo Liên danh Chủ đầu tư xem xét, phê duyệt chủ trương để các bộ phận liên quan đàm phán, hoàn thiện và ký kết Phụ lục Hợp đồng số 03 với Nhà thầu (Liên danh Tổng thầu VNCN E&amp;C – Việt Hưng), làm cơ sở triển khai tạm ứng, thanh toán cho các gói công việc thuộc Dự án NOXH Yên Sở, thay thế phương thức thanh toán theo mốc giai đoạn tại Khoản 9.5 Điều 9 Hợp đồng gốc.</w:t>
      </w:r>
    </w:p>
    <w:p w14:paraId="38034CA0" w14:textId="77777777" w:rsidR="00A33992" w:rsidRPr="00A33992" w:rsidRDefault="00A33992" w:rsidP="00A33992">
      <w:pPr>
        <w:pStyle w:val="ListParagraph"/>
        <w:numPr>
          <w:ilvl w:val="0"/>
          <w:numId w:val="2"/>
        </w:numPr>
        <w:spacing w:before="120" w:after="120"/>
        <w:ind w:left="360"/>
        <w:jc w:val="both"/>
        <w:rPr>
          <w:b/>
          <w:sz w:val="26"/>
          <w:szCs w:val="26"/>
        </w:rPr>
      </w:pPr>
      <w:r>
        <w:rPr>
          <w:strike/>
          <w:color w:val="C00000"/>
        </w:rPr>
        <w:t>Điều kiện thanh toán và các nội dung khác:</w:t>
      </w:r>
    </w:p>
    <w:p>
      <w:pPr>
        <w:spacing w:after="120"/>
      </w:pPr>
      <w:r>
        <w:rPr>
          <w:b/>
          <w:bCs/>
          <w:sz w:val="26"/>
          <w:szCs w:val="26"/>
          <w:highlight w:val="cyan"/>
        </w:rPr>
        <w:t>3. NGUYÊN TẮC TẠM ỨNG VÀ THANH TOÁN ĐỀ NGHỊ PHÊ DUYỆT</w:t>
      </w:r>
    </w:p>
    <w:p w14:paraId="719F6EEA" w14:textId="12EAA9E4" w:rsidR="00A33992" w:rsidRPr="00A33992" w:rsidRDefault="00A33992" w:rsidP="00A33992">
      <w:pPr>
        <w:spacing w:before="120" w:after="120"/>
        <w:ind w:left="360"/>
        <w:jc w:val="both"/>
        <w:rPr>
          <w:sz w:val="26"/>
          <w:szCs w:val="26"/>
        </w:rPr>
      </w:pPr>
      <w:r>
        <w:rPr>
          <w:strike/>
          <w:color w:val="C00000"/>
        </w:rPr>
        <w:t>3.1.Giá trị giải ngân tiền CĐT tạm ứng theo Hợp đồng gốc cho giá trị từng Gói thầu là 20%.</w:t>
      </w:r>
    </w:p>
    <w:p>
      <w:pPr>
        <w:spacing w:after="120"/>
      </w:pPr>
      <w:r>
        <w:rPr>
          <w:b w:val="0"/>
          <w:bCs w:val="0"/>
          <w:sz w:val="26"/>
          <w:szCs w:val="26"/>
          <w:highlight w:val="cyan"/>
        </w:rPr>
        <w:t>3.1. Phạm vi áp dụng: Phụ lục Hợp đồng số 03 thay thế toàn bộ phương thức thanh toán theo mốc giai đoạn quy định tại Khoản 9.5 Điều 9 Hợp đồng gốc và áp dụng thống nhất cho các gói công việc thuộc Hợp đồng gốc. Mỗi gói công việc được tạm ứng và thanh toán độc lập theo giá trị dự toán của gói công việc đó.</w:t>
        <w:br/>
        <w:t>3.2. Tạm ứng: Mức tạm ứng bằng 20% giá trị từng gói công việc, xác định trên cơ sở dự toán của gói công việc (dự toán tạm thời hoặc dự toán chính thức theo quy định tại điểm 3.5 dưới đây). Điều kiện giải ngân tạm ứng: gói công việc đã có dự toán được Chủ đầu tư chấp thuận và Nhà thầu cung cấp bảo lãnh tạm ứng tương ứng theo Hợp đồng gốc. Trường hợp tạm ứng theo dự toán tạm thời, giá trị tạm ứng được đối chiếu, điều chỉnh khi dự toán chính thức được phê duyệt.</w:t>
      </w:r>
    </w:p>
    <w:p w14:paraId="0C6EEA37" w14:textId="5E97A46D" w:rsidR="00A33992" w:rsidRPr="00A33992" w:rsidRDefault="00A33992" w:rsidP="00A33992">
      <w:pPr>
        <w:spacing w:before="120" w:after="120"/>
        <w:ind w:left="360"/>
        <w:jc w:val="both"/>
        <w:rPr>
          <w:sz w:val="26"/>
          <w:szCs w:val="26"/>
        </w:rPr>
      </w:pPr>
      <w:r>
        <w:rPr>
          <w:strike/>
          <w:color w:val="C00000"/>
        </w:rPr>
        <w:t>3.2. Thanh toán theo phiếu giá: Bên B được lập hồ sơ thanh toán tại bất kỳ thời điểm nào (không phụ thuộc tháng, mốc, giai đoạn) khi giá trị khối lượng hoàn thành thực tế của mỗi phiếu giá đạt tối thiểu 10.000.000.000 (mười tỷ) đồng, đã nghiệm thu, xác nhận khối lượng và chấp thuận giá trị. Giá trị chưa đạt ngưỡng được cộng dồn sang phiếu tiếp theo; phiếu giá cuối cùng của Gói thầu không bắt buộc đạt ngưỡng trên.</w:t>
      </w:r>
    </w:p>
    <w:p>
      <w:pPr>
        <w:spacing w:after="120"/>
      </w:pPr>
      <w:r>
        <w:rPr>
          <w:b w:val="0"/>
          <w:bCs w:val="0"/>
          <w:sz w:val="26"/>
          <w:szCs w:val="26"/>
          <w:highlight w:val="cyan"/>
        </w:rPr>
        <w:t>3.3. Điều kiện và cách thức thanh toán theo phiếu giá: Nhà thầu được lập hồ sơ thanh toán tại bất kỳ thời điểm nào, không phụ thuộc tháng, mốc hay giai đoạn thi công, khi giá trị khối lượng công việc hoàn thành thực tế của một phiếu giá đạt tối thiểu 10.000.000.000 (mười tỷ) đồng. Khối lượng làm cơ sở lập phiếu giá phải được nghiệm thu, xác nhận khối lượng và được Chủ đầu tư chấp thuận giá trị. Giá trị khối lượng chưa đạt ngưỡng nêu trên được cộng dồn sang phiếu giá tiếp theo; phiếu giá cuối cùng của gói công việc được lập không phụ thuộc ngưỡng này.</w:t>
      </w:r>
    </w:p>
    <w:p w14:paraId="161C0657" w14:textId="4E623ED8" w:rsidR="00A33992" w:rsidRPr="00A33992" w:rsidRDefault="00A33992" w:rsidP="00A33992">
      <w:pPr>
        <w:spacing w:before="120" w:after="120"/>
        <w:ind w:left="360"/>
        <w:jc w:val="both"/>
        <w:rPr>
          <w:sz w:val="26"/>
          <w:szCs w:val="26"/>
        </w:rPr>
      </w:pPr>
      <w:r>
        <w:rPr>
          <w:strike/>
          <w:color w:val="C00000"/>
        </w:rPr>
        <w:t>3.3. Mức thanh toán tối đa: Tổng giá trị tạm ứng cộng dồn và thanh toán cộng dồn của mỗi Gói thầu không vượt quá 95% giá trị khối lượng hoàn thành theo Dự toán chính thức (sau khi thu hồi hết 20% tạm ứng, thanh toán thêm tối đa 75%); giữ lại 5% để đối chiếu, khấu trừ, điều chỉnh khi Dự toán chính thức được phê duyệt và tại quyết toán. Trường hợp áp dụng Dự toán tạm thời, mức thanh toán cộng dồn tối đa là 90% (sau khi thu hồi hết 20% tạm ứng, thanh toán thêm tối đa 70%).</w:t>
      </w:r>
    </w:p>
    <w:p>
      <w:pPr>
        <w:spacing w:after="120"/>
      </w:pPr>
      <w:r>
        <w:rPr>
          <w:b w:val="0"/>
          <w:bCs w:val="0"/>
          <w:sz w:val="26"/>
          <w:szCs w:val="26"/>
          <w:highlight w:val="cyan"/>
        </w:rPr>
        <w:t>3.4. Mức thanh toán tối đa: Tổng giá trị tạm ứng và thanh toán lũy kế của mỗi gói công việc không vượt quá 95% giá trị khối lượng công việc hoàn thành theo dự toán; trong đó, sau khi trừ 20% giá trị đã tạm ứng, phần thanh toán theo các phiếu giá tối đa bằng 75%. Phần 5% còn lại được giữ lại để đối chiếu, khấu trừ, điều chỉnh khi dự toán chính thức được phê duyệt và tại quyết toán Hợp đồng.</w:t>
      </w:r>
    </w:p>
    <w:p w14:paraId="4C2C0096" w14:textId="5A10AB9B" w:rsidR="00A33992" w:rsidRPr="00A33992" w:rsidRDefault="00A33992" w:rsidP="00A33992">
      <w:pPr>
        <w:spacing w:before="120" w:after="120"/>
        <w:ind w:left="360"/>
        <w:jc w:val="both"/>
        <w:rPr>
          <w:sz w:val="26"/>
          <w:szCs w:val="26"/>
        </w:rPr>
      </w:pPr>
      <w:r>
        <w:rPr>
          <w:strike/>
          <w:color w:val="C00000"/>
        </w:rPr>
        <w:t>3.4. Dự toán tạm thời: Được áp dụng trong thời gian Dự toán chính thức chưa được thẩm tra, phê duyệt, với điều kiện lập trên hồ sơ thiết kế được duyệt, do tư vấn có năng lực lập, tuân thủ định mức, đơn giá nhà nước công bố và được Bên A chấp thuận bằng văn bản.</w:t>
      </w:r>
    </w:p>
    <w:p>
      <w:pPr>
        <w:spacing w:after="120"/>
      </w:pPr>
      <w:r>
        <w:rPr>
          <w:b w:val="0"/>
          <w:bCs w:val="0"/>
          <w:sz w:val="26"/>
          <w:szCs w:val="26"/>
          <w:highlight w:val="cyan"/>
        </w:rPr>
        <w:t>3.5. Dự toán áp dụng để tạm ứng, thanh toán:</w:t>
        <w:br/>
        <w:t>a) Dự toán chính thức: dự toán xây dựng công trình, gói công việc được lập theo hồ sơ thiết kế đã được phê duyệt, được cơ quan, tổ chức có thẩm quyền thẩm tra và được người quyết định đầu tư hoặc Chủ đầu tư phê duyệt theo quy định pháp luật về quản lý chi phí đầu tư xây dựng (Nghị định số 206/2026/NĐ-CP); là cơ sở cuối cùng để thanh toán, quyết toán.</w:t>
        <w:br/>
        <w:t>b) Dự toán tạm thời: dự toán do Nhà thầu lập hoặc thuê tư vấn có năng lực, kinh nghiệm phù hợp lập trên cơ sở hồ sơ thiết kế đã được phê duyệt, tuân thủ định mức, đơn giá do cơ quan nhà nước có thẩm quyền công bố và được Chủ đầu tư rà soát, chấp thuận bằng văn bản, nhưng chưa được thẩm tra, phê duyệt theo trình tự của dự toán chính thức.</w:t>
        <w:br/>
        <w:t>c) Dự toán tạm thời được sử dụng để xác định giá trị tạm ứng, giá trị khối lượng và giá trị thanh toán theo phiếu giá trong thời gian dự toán chính thức chưa được phê duyệt; dự toán tạm thời không là căn cứ xác định giá trị quyết toán cuối cùng. Do chưa được thẩm tra, phê duyệt, mức thanh toán lũy kế tối đa bao gồm tạm ứng áp dụng theo dự toán tạm thời là 90%, trong đó phần thanh toán theo phiếu giá tối đa bằng 70%; mức 95% quy định tại điểm 3.4 chỉ áp dụng theo dự toán chính thức.</w:t>
      </w:r>
    </w:p>
    <w:p w14:paraId="4F1F512F" w14:textId="634C0E70" w:rsidR="00A33992" w:rsidRPr="00A33992" w:rsidRDefault="00A33992" w:rsidP="00A33992">
      <w:pPr>
        <w:spacing w:before="120" w:after="120"/>
        <w:ind w:left="360"/>
        <w:jc w:val="both"/>
        <w:rPr>
          <w:sz w:val="26"/>
          <w:szCs w:val="26"/>
        </w:rPr>
      </w:pPr>
      <w:r>
        <w:rPr>
          <w:strike/>
          <w:color w:val="C00000"/>
        </w:rPr>
        <w:t>3.5. Quy trình, thời hạn: Chốt khối lượng (không quá ngày 25 của tháng gần nhất) → Bên B trình hồ sơ trong 05 ngày làm việc → Bên A xác nhận khối lượng trong 05 ngày làm việc, chấp thuận giá trị trong 07 ngày làm việc → Bên A thanh toán trong 07 ngày làm việc kể từ khi nhận đủ hồ sơ hợp lệ. Hồ sơ thanh toán gồm hồ sơ nghiệm thu, hồ sơ chất lượng (thí nghiệm vật liệu, bê tông R7/R28, nhật ký thi công, bản vẽ hoàn công bộ phận), hóa đơn GTGT, lập thành 08 bộ theo Hợp đồng gốc.</w:t>
      </w:r>
    </w:p>
    <w:p>
      <w:pPr>
        <w:spacing w:after="120"/>
      </w:pPr>
      <w:r>
        <w:rPr>
          <w:b w:val="0"/>
          <w:bCs w:val="0"/>
          <w:sz w:val="26"/>
          <w:szCs w:val="26"/>
          <w:highlight w:val="cyan"/>
        </w:rPr>
        <w:t>3.6. Quy trình và thời hạn thanh toán: (i) Chốt khối lượng tại ngày chốt do Nhà thầu đề xuất nhưng không quá ngày 25 của tháng gần nhất trước ngày trình hồ sơ; (ii) Nhà thầu trình hồ sơ thanh toán trong thời hạn 05 ngày làm việc kể từ ngày chốt khối lượng; (iii) Ban QLDA thông qua Tư vấn quản lý dự án, Tư vấn giám sát xác nhận khối lượng trong thời hạn 05 ngày làm việc và trình Chủ đầu tư chấp thuận giá trị trong thời hạn 07 ngày làm việc; (iv) Chủ đầu tư thanh toán trong thời hạn 07 ngày làm việc kể từ ngày nhận đủ hồ sơ hợp lệ.</w:t>
        <w:br/>
        <w:t>3.7. Hồ sơ thanh toán: (i) công văn đề nghị thanh toán theo phiếu giá, nêu rõ giá trị khối lượng hoàn thành, giá trị tạm ứng đã khấu trừ và giá trị đề nghị thanh toán; (ii) bảng xác định khối lượng hoàn thành và bảng xác định giá trị khối lượng hoàn thành theo đơn giá dự toán; (iii) biên bản nghiệm thu công việc, hạng mục; (iv) hồ sơ chất lượng gồm kết quả thí nghiệm vật liệu, kết quả thí nghiệm bê tông R7/R28, nhật ký thi công, bản vẽ hoàn công bộ phận; (v) hóa đơn giá trị gia tăng; lập thành 08 bộ theo Hợp đồng gốc.</w:t>
      </w:r>
    </w:p>
    <w:p w14:paraId="7F7A57FB" w14:textId="61D35630" w:rsidR="00A33992" w:rsidRPr="00A33992" w:rsidRDefault="00A33992" w:rsidP="00A33992">
      <w:pPr>
        <w:spacing w:before="120" w:after="120"/>
        <w:ind w:left="360"/>
        <w:jc w:val="both"/>
        <w:rPr>
          <w:sz w:val="26"/>
          <w:szCs w:val="26"/>
        </w:rPr>
      </w:pPr>
      <w:r>
        <w:rPr>
          <w:strike/>
          <w:color w:val="C00000"/>
        </w:rPr>
        <w:t>3.6. Khi Dự toán chính thức được phê duyệt và tại quyết toán: đối chiếu, khấu trừ, bù trừ chênh lệch; tiếp tục thanh toán tối đa 95% theo Dự toán chính thức; tại quyết toán, thanh toán 97% giá trị quyết toán, giữ lại 3% để bảo hành theo Hợp đồng gốc.</w:t>
      </w:r>
    </w:p>
    <w:p>
      <w:pPr>
        <w:spacing w:after="120"/>
      </w:pPr>
      <w:r>
        <w:rPr>
          <w:b w:val="0"/>
          <w:bCs w:val="0"/>
          <w:sz w:val="26"/>
          <w:szCs w:val="26"/>
          <w:highlight w:val="cyan"/>
        </w:rPr>
        <w:t>3.8. Khi dự toán chính thức được phê duyệt và tại quyết toán: các Bên đối chiếu, khấu trừ, bù trừ chênh lệch giữa giá trị đã tạm ứng, thanh toán theo dự toán tạm thời và giá trị theo dự toán chính thức; tiếp tục thanh toán theo dự toán chính thức với mức tối đa 95% giá trị khối lượng hoàn thành; tại quyết toán, thanh toán 97% giá trị quyết toán được phê duyệt và giữ lại 3% để bảo hành theo Hợp đồng gốc.</w:t>
      </w:r>
    </w:p>
    <w:p w14:paraId="49A5BC82" w14:textId="77777777" w:rsidR="00A33992" w:rsidRPr="00A33992" w:rsidRDefault="00A33992">
      <w:pPr>
        <w:spacing w:after="140" w:line="300" w:lineRule="auto"/>
        <w:jc w:val="both"/>
        <w:rPr>
          <w:sz w:val="26"/>
          <w:szCs w:val="26"/>
        </w:rPr>
      </w:pPr>
    </w:p>
    <w:p w14:paraId="0A7F5C68" w14:textId="77777777" w:rsidR="00C461E0" w:rsidRPr="00A33992" w:rsidRDefault="00000000">
      <w:pPr>
        <w:spacing w:after="80" w:line="300" w:lineRule="auto"/>
        <w:jc w:val="both"/>
        <w:rPr>
          <w:sz w:val="26"/>
          <w:szCs w:val="26"/>
        </w:rPr>
      </w:pPr>
      <w:r>
        <w:rPr>
          <w:strike/>
          <w:color w:val="C00000"/>
        </w:rPr>
        <w:t>Kính trình Ban lãnh đạo Liên danh CĐT, Hội đồng quản lý dự án Phê duyệt để triển khai các bước tiếp theo.</w:t>
      </w:r>
    </w:p>
    <w:p>
      <w:pPr>
        <w:spacing w:after="120"/>
      </w:pPr>
      <w:r>
        <w:rPr>
          <w:b w:val="0"/>
          <w:bCs w:val="0"/>
          <w:sz w:val="26"/>
          <w:szCs w:val="26"/>
          <w:highlight w:val="cyan"/>
        </w:rPr>
        <w:t>Kính trình Ban Lãnh đạo Liên danh Chủ đầu tư (Hội đồng Quản lý dự án) phê duyệt chủ trương nêu trên để triển khai các bước tiếp theo.</w:t>
      </w:r>
    </w:p>
    <w:p w14:paraId="5308B867" w14:textId="77777777" w:rsidR="00C461E0" w:rsidRPr="00A33992" w:rsidRDefault="00000000">
      <w:pPr>
        <w:spacing w:after="300" w:line="300" w:lineRule="auto"/>
        <w:jc w:val="both"/>
        <w:rPr>
          <w:sz w:val="26"/>
          <w:szCs w:val="26"/>
        </w:rPr>
      </w:pPr>
      <w:r w:rsidRPr="00A33992">
        <w:rPr>
          <w:sz w:val="26"/>
          <w:szCs w:val="26"/>
        </w:rPr>
        <w:t>Trân trọng./.</w:t>
      </w:r>
    </w:p>
    <w:p w14:paraId="26243C84" w14:textId="77777777" w:rsidR="00A33992" w:rsidRDefault="00A33992">
      <w:pPr>
        <w:spacing w:after="160" w:line="300" w:lineRule="auto"/>
        <w:jc w:val="right"/>
        <w:rPr>
          <w:i/>
          <w:iCs/>
          <w:sz w:val="26"/>
          <w:szCs w:val="26"/>
        </w:rPr>
      </w:pPr>
    </w:p>
    <w:p w14:paraId="4094857E" w14:textId="77777777" w:rsidR="00A33992" w:rsidRDefault="00A33992">
      <w:pPr>
        <w:spacing w:after="160" w:line="300" w:lineRule="auto"/>
        <w:jc w:val="right"/>
        <w:rPr>
          <w:i/>
          <w:iCs/>
          <w:sz w:val="26"/>
          <w:szCs w:val="26"/>
        </w:rPr>
      </w:pPr>
    </w:p>
    <w:p w14:paraId="41BEEEC2" w14:textId="77777777" w:rsidR="00A33992" w:rsidRDefault="00A33992">
      <w:pPr>
        <w:spacing w:after="160" w:line="300" w:lineRule="auto"/>
        <w:jc w:val="right"/>
        <w:rPr>
          <w:i/>
          <w:iCs/>
          <w:sz w:val="26"/>
          <w:szCs w:val="26"/>
        </w:rPr>
      </w:pPr>
    </w:p>
    <w:p w14:paraId="593F8BFE" w14:textId="77777777" w:rsidR="00A33992" w:rsidRDefault="00A33992">
      <w:pPr>
        <w:spacing w:after="160" w:line="300" w:lineRule="auto"/>
        <w:jc w:val="right"/>
        <w:rPr>
          <w:i/>
          <w:iCs/>
          <w:sz w:val="26"/>
          <w:szCs w:val="26"/>
        </w:rPr>
      </w:pPr>
    </w:p>
    <w:p w14:paraId="3F2AF40D" w14:textId="77777777" w:rsidR="00A33992" w:rsidRDefault="00A33992">
      <w:pPr>
        <w:spacing w:after="160" w:line="300" w:lineRule="auto"/>
        <w:jc w:val="right"/>
        <w:rPr>
          <w:i/>
          <w:iCs/>
          <w:sz w:val="26"/>
          <w:szCs w:val="26"/>
        </w:rPr>
      </w:pPr>
    </w:p>
    <w:p w14:paraId="7960BBBF" w14:textId="77777777" w:rsidR="00A33992" w:rsidRDefault="00A33992">
      <w:pPr>
        <w:spacing w:after="160" w:line="300" w:lineRule="auto"/>
        <w:jc w:val="right"/>
        <w:rPr>
          <w:i/>
          <w:iCs/>
          <w:sz w:val="26"/>
          <w:szCs w:val="26"/>
        </w:rPr>
      </w:pPr>
    </w:p>
    <w:p w14:paraId="5F2F3305" w14:textId="77777777" w:rsidR="00A33992" w:rsidRDefault="00A33992">
      <w:pPr>
        <w:spacing w:after="160" w:line="300" w:lineRule="auto"/>
        <w:jc w:val="right"/>
        <w:rPr>
          <w:i/>
          <w:iCs/>
          <w:sz w:val="26"/>
          <w:szCs w:val="26"/>
        </w:rPr>
      </w:pPr>
    </w:p>
    <w:p w14:paraId="17D5A3EF" w14:textId="77777777" w:rsidR="00A33992" w:rsidRDefault="00A33992">
      <w:pPr>
        <w:spacing w:after="160" w:line="300" w:lineRule="auto"/>
        <w:jc w:val="right"/>
        <w:rPr>
          <w:i/>
          <w:iCs/>
          <w:sz w:val="26"/>
          <w:szCs w:val="26"/>
        </w:rPr>
      </w:pPr>
    </w:p>
    <w:p w14:paraId="40B6F8DB" w14:textId="77777777" w:rsidR="00A33992" w:rsidRDefault="00A33992">
      <w:pPr>
        <w:spacing w:after="160" w:line="300" w:lineRule="auto"/>
        <w:jc w:val="right"/>
        <w:rPr>
          <w:i/>
          <w:iCs/>
          <w:sz w:val="26"/>
          <w:szCs w:val="26"/>
        </w:rPr>
      </w:pPr>
    </w:p>
    <w:p w14:paraId="10973138" w14:textId="52ED72D2" w:rsidR="00C461E0" w:rsidRPr="00A33992" w:rsidRDefault="00000000">
      <w:pPr>
        <w:spacing w:after="160" w:line="300" w:lineRule="auto"/>
        <w:jc w:val="right"/>
        <w:rPr>
          <w:sz w:val="26"/>
          <w:szCs w:val="26"/>
        </w:rPr>
      </w:pPr>
      <w:r w:rsidRPr="00A33992">
        <w:rPr>
          <w:i/>
          <w:iCs/>
          <w:sz w:val="26"/>
          <w:szCs w:val="26"/>
        </w:rPr>
        <w:t>Hà Nội, ngày</w:t>
      </w:r>
      <w:r w:rsidR="005230AB">
        <w:rPr>
          <w:i/>
          <w:iCs/>
          <w:sz w:val="26"/>
          <w:szCs w:val="26"/>
        </w:rPr>
        <w:t xml:space="preserve">    </w:t>
      </w:r>
      <w:r w:rsidRPr="00A33992">
        <w:rPr>
          <w:i/>
          <w:iCs/>
          <w:sz w:val="26"/>
          <w:szCs w:val="26"/>
        </w:rPr>
        <w:t>thán</w:t>
      </w:r>
      <w:r w:rsidR="005230AB">
        <w:rPr>
          <w:i/>
          <w:iCs/>
          <w:sz w:val="26"/>
          <w:szCs w:val="26"/>
        </w:rPr>
        <w:t xml:space="preserve">g    </w:t>
      </w:r>
      <w:r w:rsidRPr="00A33992">
        <w:rPr>
          <w:i/>
          <w:iCs/>
          <w:sz w:val="26"/>
          <w:szCs w:val="26"/>
        </w:rPr>
        <w:t>năm 2026</w:t>
      </w:r>
    </w:p>
    <w:p w14:paraId="1347F71B" w14:textId="77777777" w:rsidR="00C461E0" w:rsidRPr="00A33992" w:rsidRDefault="00000000">
      <w:pPr>
        <w:spacing w:line="300" w:lineRule="auto"/>
        <w:jc w:val="center"/>
        <w:rPr>
          <w:sz w:val="26"/>
          <w:szCs w:val="26"/>
        </w:rPr>
      </w:pPr>
      <w:r w:rsidRPr="00A33992">
        <w:rPr>
          <w:b/>
          <w:bCs/>
          <w:sz w:val="26"/>
          <w:szCs w:val="26"/>
        </w:rPr>
        <w:t>BAN QUẢN LÝ DỰ ÁN YÊN SỞ</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38"/>
        <w:gridCol w:w="2338"/>
        <w:gridCol w:w="2337"/>
        <w:gridCol w:w="2337"/>
      </w:tblGrid>
      <w:tr w:rsidR="00C461E0" w:rsidRPr="00A33992" w14:paraId="4FA3E22D"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Pr>
          <w:p w14:paraId="4ADF7E68" w14:textId="77777777" w:rsidR="00C461E0" w:rsidRPr="00A33992" w:rsidRDefault="00000000">
            <w:pPr>
              <w:spacing w:line="300" w:lineRule="auto"/>
              <w:jc w:val="center"/>
              <w:rPr>
                <w:sz w:val="26"/>
                <w:szCs w:val="26"/>
              </w:rPr>
            </w:pPr>
            <w:r w:rsidRPr="00A33992">
              <w:rPr>
                <w:b/>
                <w:bCs/>
                <w:sz w:val="26"/>
                <w:szCs w:val="26"/>
              </w:rPr>
              <w:t>Ban QLDA</w:t>
            </w:r>
          </w:p>
        </w:tc>
        <w:tc>
          <w:tcPr>
            <w:tcW w:w="2338" w:type="dxa"/>
            <w:tcBorders>
              <w:top w:val="single" w:sz="4" w:space="0" w:color="000000"/>
              <w:left w:val="single" w:sz="4" w:space="0" w:color="000000"/>
              <w:bottom w:val="single" w:sz="4" w:space="0" w:color="000000"/>
              <w:right w:val="single" w:sz="4" w:space="0" w:color="000000"/>
            </w:tcBorders>
          </w:tcPr>
          <w:p w14:paraId="7B012D13" w14:textId="77777777" w:rsidR="00C461E0" w:rsidRPr="00A33992" w:rsidRDefault="00000000">
            <w:pPr>
              <w:spacing w:line="300" w:lineRule="auto"/>
              <w:jc w:val="center"/>
              <w:rPr>
                <w:sz w:val="26"/>
                <w:szCs w:val="26"/>
              </w:rPr>
            </w:pPr>
            <w:r w:rsidRPr="00A33992">
              <w:rPr>
                <w:b/>
                <w:bCs/>
                <w:sz w:val="26"/>
                <w:szCs w:val="26"/>
              </w:rPr>
              <w:t>Ban QLDA</w:t>
            </w:r>
          </w:p>
        </w:tc>
        <w:tc>
          <w:tcPr>
            <w:tcW w:w="4674" w:type="dxa"/>
            <w:gridSpan w:val="2"/>
            <w:tcBorders>
              <w:top w:val="single" w:sz="4" w:space="0" w:color="000000"/>
              <w:left w:val="single" w:sz="4" w:space="0" w:color="000000"/>
              <w:bottom w:val="single" w:sz="4" w:space="0" w:color="000000"/>
              <w:right w:val="single" w:sz="4" w:space="0" w:color="000000"/>
            </w:tcBorders>
          </w:tcPr>
          <w:p w14:paraId="772B352C" w14:textId="77777777" w:rsidR="00C461E0" w:rsidRPr="00A33992" w:rsidRDefault="00000000">
            <w:pPr>
              <w:spacing w:line="300" w:lineRule="auto"/>
              <w:jc w:val="center"/>
              <w:rPr>
                <w:sz w:val="26"/>
                <w:szCs w:val="26"/>
              </w:rPr>
            </w:pPr>
            <w:r w:rsidRPr="00A33992">
              <w:rPr>
                <w:b/>
                <w:bCs/>
                <w:sz w:val="26"/>
                <w:szCs w:val="26"/>
              </w:rPr>
              <w:t>Người lập</w:t>
            </w:r>
          </w:p>
        </w:tc>
      </w:tr>
      <w:tr w:rsidR="00C461E0" w:rsidRPr="00A33992" w14:paraId="79AEDA6F" w14:textId="77777777">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Pr>
          <w:p w14:paraId="5D28C8AA" w14:textId="77777777" w:rsidR="00C461E0" w:rsidRPr="00A33992" w:rsidRDefault="00C461E0">
            <w:pPr>
              <w:spacing w:after="500" w:line="300" w:lineRule="auto"/>
              <w:jc w:val="both"/>
              <w:rPr>
                <w:sz w:val="26"/>
                <w:szCs w:val="26"/>
              </w:rPr>
            </w:pPr>
          </w:p>
          <w:p w14:paraId="00A70651" w14:textId="77777777" w:rsidR="00C461E0" w:rsidRPr="00A33992" w:rsidRDefault="00000000">
            <w:pPr>
              <w:spacing w:line="300" w:lineRule="auto"/>
              <w:jc w:val="center"/>
              <w:rPr>
                <w:sz w:val="26"/>
                <w:szCs w:val="26"/>
              </w:rPr>
            </w:pPr>
            <w:r w:rsidRPr="00A33992">
              <w:rPr>
                <w:b/>
                <w:bCs/>
                <w:sz w:val="26"/>
                <w:szCs w:val="26"/>
              </w:rPr>
              <w:t>Phạm Mạnh Cường</w:t>
            </w:r>
          </w:p>
          <w:p w14:paraId="22A9FBC3" w14:textId="77777777" w:rsidR="00C461E0" w:rsidRPr="00A33992" w:rsidRDefault="00000000">
            <w:pPr>
              <w:spacing w:line="300" w:lineRule="auto"/>
              <w:jc w:val="center"/>
              <w:rPr>
                <w:sz w:val="26"/>
                <w:szCs w:val="26"/>
              </w:rPr>
            </w:pPr>
            <w:r w:rsidRPr="00A33992">
              <w:rPr>
                <w:i/>
                <w:iCs/>
                <w:sz w:val="26"/>
                <w:szCs w:val="26"/>
              </w:rPr>
              <w:t>Ngày...../....../......</w:t>
            </w:r>
          </w:p>
        </w:tc>
        <w:tc>
          <w:tcPr>
            <w:tcW w:w="2338" w:type="dxa"/>
            <w:tcBorders>
              <w:top w:val="single" w:sz="4" w:space="0" w:color="000000"/>
              <w:left w:val="single" w:sz="4" w:space="0" w:color="000000"/>
              <w:bottom w:val="single" w:sz="4" w:space="0" w:color="000000"/>
              <w:right w:val="single" w:sz="4" w:space="0" w:color="000000"/>
            </w:tcBorders>
          </w:tcPr>
          <w:p w14:paraId="6E2C335E" w14:textId="77777777" w:rsidR="00C461E0" w:rsidRPr="00A33992" w:rsidRDefault="00C461E0">
            <w:pPr>
              <w:spacing w:after="500" w:line="300" w:lineRule="auto"/>
              <w:jc w:val="both"/>
              <w:rPr>
                <w:sz w:val="26"/>
                <w:szCs w:val="26"/>
              </w:rPr>
            </w:pPr>
          </w:p>
          <w:p w14:paraId="30BB8616" w14:textId="77777777" w:rsidR="00C461E0" w:rsidRPr="00A33992" w:rsidRDefault="00000000">
            <w:pPr>
              <w:spacing w:line="300" w:lineRule="auto"/>
              <w:jc w:val="center"/>
              <w:rPr>
                <w:sz w:val="26"/>
                <w:szCs w:val="26"/>
              </w:rPr>
            </w:pPr>
            <w:r w:rsidRPr="00A33992">
              <w:rPr>
                <w:b/>
                <w:bCs/>
                <w:sz w:val="26"/>
                <w:szCs w:val="26"/>
              </w:rPr>
              <w:t>Phạm Công Trụ</w:t>
            </w:r>
          </w:p>
          <w:p w14:paraId="2513CFA3" w14:textId="77777777" w:rsidR="00C461E0" w:rsidRPr="00A33992" w:rsidRDefault="00000000">
            <w:pPr>
              <w:spacing w:line="300" w:lineRule="auto"/>
              <w:jc w:val="center"/>
              <w:rPr>
                <w:sz w:val="26"/>
                <w:szCs w:val="26"/>
              </w:rPr>
            </w:pPr>
            <w:r w:rsidRPr="00A33992">
              <w:rPr>
                <w:i/>
                <w:iCs/>
                <w:sz w:val="26"/>
                <w:szCs w:val="26"/>
              </w:rPr>
              <w:t>Ngày...../....../......</w:t>
            </w:r>
          </w:p>
        </w:tc>
        <w:tc>
          <w:tcPr>
            <w:tcW w:w="2337" w:type="dxa"/>
            <w:tcBorders>
              <w:top w:val="single" w:sz="4" w:space="0" w:color="000000"/>
              <w:left w:val="single" w:sz="4" w:space="0" w:color="000000"/>
              <w:bottom w:val="single" w:sz="4" w:space="0" w:color="000000"/>
              <w:right w:val="single" w:sz="4" w:space="0" w:color="000000"/>
            </w:tcBorders>
          </w:tcPr>
          <w:p w14:paraId="04116B4C" w14:textId="77777777" w:rsidR="00C461E0" w:rsidRPr="00A33992" w:rsidRDefault="00C461E0">
            <w:pPr>
              <w:spacing w:after="500" w:line="300" w:lineRule="auto"/>
              <w:jc w:val="both"/>
              <w:rPr>
                <w:sz w:val="26"/>
                <w:szCs w:val="26"/>
              </w:rPr>
            </w:pPr>
          </w:p>
          <w:p w14:paraId="2B4DF63D" w14:textId="77777777" w:rsidR="00C461E0" w:rsidRPr="00A33992" w:rsidRDefault="00000000">
            <w:pPr>
              <w:spacing w:line="300" w:lineRule="auto"/>
              <w:jc w:val="center"/>
              <w:rPr>
                <w:sz w:val="26"/>
                <w:szCs w:val="26"/>
              </w:rPr>
            </w:pPr>
            <w:r w:rsidRPr="00A33992">
              <w:rPr>
                <w:b/>
                <w:bCs/>
                <w:sz w:val="26"/>
                <w:szCs w:val="26"/>
              </w:rPr>
              <w:t>Phùng Việt Hùng</w:t>
            </w:r>
          </w:p>
        </w:tc>
        <w:tc>
          <w:tcPr>
            <w:tcW w:w="2337" w:type="dxa"/>
            <w:tcBorders>
              <w:top w:val="single" w:sz="4" w:space="0" w:color="000000"/>
              <w:left w:val="single" w:sz="4" w:space="0" w:color="000000"/>
              <w:bottom w:val="single" w:sz="4" w:space="0" w:color="000000"/>
              <w:right w:val="single" w:sz="4" w:space="0" w:color="000000"/>
            </w:tcBorders>
          </w:tcPr>
          <w:p w14:paraId="68EC3B67" w14:textId="77777777" w:rsidR="00C461E0" w:rsidRPr="00A33992" w:rsidRDefault="00C461E0">
            <w:pPr>
              <w:spacing w:after="500" w:line="300" w:lineRule="auto"/>
              <w:jc w:val="both"/>
              <w:rPr>
                <w:sz w:val="26"/>
                <w:szCs w:val="26"/>
              </w:rPr>
            </w:pPr>
          </w:p>
          <w:p w14:paraId="49AFD5EE" w14:textId="77777777" w:rsidR="00C461E0" w:rsidRPr="00A33992" w:rsidRDefault="00000000">
            <w:pPr>
              <w:spacing w:line="300" w:lineRule="auto"/>
              <w:jc w:val="center"/>
              <w:rPr>
                <w:sz w:val="26"/>
                <w:szCs w:val="26"/>
              </w:rPr>
            </w:pPr>
            <w:r w:rsidRPr="00A33992">
              <w:rPr>
                <w:b/>
                <w:bCs/>
                <w:sz w:val="26"/>
                <w:szCs w:val="26"/>
              </w:rPr>
              <w:t>Bùi Đức Thiết</w:t>
            </w:r>
          </w:p>
        </w:tc>
      </w:tr>
    </w:tbl>
    <w:p w14:paraId="43FEBF66" w14:textId="77777777" w:rsidR="00C461E0" w:rsidRPr="00A33992" w:rsidRDefault="00C461E0">
      <w:pPr>
        <w:spacing w:after="200" w:line="300" w:lineRule="auto"/>
        <w:jc w:val="both"/>
        <w:rPr>
          <w:sz w:val="26"/>
          <w:szCs w:val="26"/>
        </w:rPr>
      </w:pPr>
    </w:p>
    <w:p w14:paraId="1F017543" w14:textId="77777777" w:rsidR="00C461E0" w:rsidRPr="00A33992" w:rsidRDefault="00000000">
      <w:pPr>
        <w:spacing w:line="300" w:lineRule="auto"/>
        <w:jc w:val="center"/>
        <w:rPr>
          <w:sz w:val="26"/>
          <w:szCs w:val="26"/>
        </w:rPr>
      </w:pPr>
      <w:r>
        <w:rPr>
          <w:strike/>
          <w:color w:val="C00000"/>
        </w:rPr>
        <w:t>PHÊ DUYỆT CỦA BAN LÃNH ĐẠO LIÊN DANH CĐT PHÊ DUYỆT</w:t>
      </w:r>
    </w:p>
    <w:p>
      <w:pPr>
        <w:spacing w:after="120"/>
      </w:pPr>
      <w:r>
        <w:rPr>
          <w:b/>
          <w:bCs/>
          <w:sz w:val="26"/>
          <w:szCs w:val="26"/>
          <w:highlight w:val="cyan"/>
        </w:rPr>
        <w:t>PHÊ DUYỆT CỦA BAN LÃNH ĐẠO LIÊN DANH CHỦ ĐẦU TƯ</w:t>
      </w:r>
    </w:p>
    <w:p w14:paraId="15FC5094" w14:textId="77777777" w:rsidR="00C461E0" w:rsidRPr="00A33992" w:rsidRDefault="00000000">
      <w:pPr>
        <w:spacing w:after="100" w:line="300" w:lineRule="auto"/>
        <w:jc w:val="center"/>
        <w:rPr>
          <w:sz w:val="26"/>
          <w:szCs w:val="26"/>
        </w:rPr>
      </w:pPr>
      <w:r w:rsidRPr="00A33992">
        <w:rPr>
          <w:b/>
          <w:bCs/>
          <w:sz w:val="26"/>
          <w:szCs w:val="26"/>
        </w:rPr>
        <w:t>(Hội đồng Quản lý dự án)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675"/>
      </w:tblGrid>
      <w:tr w:rsidR="00C461E0" w:rsidRPr="00A33992" w14:paraId="7516FDBC" w14:textId="77777777">
        <w:tblPrEx>
          <w:tblCellMar>
            <w:top w:w="0" w:type="dxa"/>
            <w:bottom w:w="0" w:type="dxa"/>
          </w:tblCellMar>
        </w:tblPrEx>
        <w:tc>
          <w:tcPr>
            <w:tcW w:w="4675" w:type="dxa"/>
            <w:tcMar>
              <w:top w:w="60" w:type="dxa"/>
              <w:left w:w="100" w:type="dxa"/>
              <w:bottom w:w="60" w:type="dxa"/>
              <w:right w:w="100" w:type="dxa"/>
            </w:tcMar>
            <w:vAlign w:val="center"/>
          </w:tcPr>
          <w:p w14:paraId="0BABEAF3" w14:textId="77777777" w:rsidR="00C461E0" w:rsidRPr="00A33992" w:rsidRDefault="00000000">
            <w:pPr>
              <w:spacing w:line="300" w:lineRule="auto"/>
              <w:jc w:val="center"/>
              <w:rPr>
                <w:sz w:val="26"/>
                <w:szCs w:val="26"/>
              </w:rPr>
            </w:pPr>
            <w:r w:rsidRPr="00A33992">
              <w:rPr>
                <w:b/>
                <w:bCs/>
                <w:sz w:val="26"/>
                <w:szCs w:val="26"/>
              </w:rPr>
              <w:t>Đại diện IFT</w:t>
            </w:r>
          </w:p>
        </w:tc>
        <w:tc>
          <w:tcPr>
            <w:tcW w:w="4675" w:type="dxa"/>
            <w:tcMar>
              <w:top w:w="60" w:type="dxa"/>
              <w:left w:w="100" w:type="dxa"/>
              <w:bottom w:w="60" w:type="dxa"/>
              <w:right w:w="100" w:type="dxa"/>
            </w:tcMar>
            <w:vAlign w:val="center"/>
          </w:tcPr>
          <w:p w14:paraId="5D61340F" w14:textId="77777777" w:rsidR="00C461E0" w:rsidRPr="00A33992" w:rsidRDefault="00000000">
            <w:pPr>
              <w:spacing w:line="300" w:lineRule="auto"/>
              <w:jc w:val="center"/>
              <w:rPr>
                <w:sz w:val="26"/>
                <w:szCs w:val="26"/>
              </w:rPr>
            </w:pPr>
            <w:r w:rsidRPr="00A33992">
              <w:rPr>
                <w:b/>
                <w:bCs/>
                <w:sz w:val="26"/>
                <w:szCs w:val="26"/>
              </w:rPr>
              <w:t>Đại diện Tiền Phong</w:t>
            </w:r>
          </w:p>
        </w:tc>
      </w:tr>
      <w:tr w:rsidR="00C461E0" w:rsidRPr="00A33992" w14:paraId="4E5AD804" w14:textId="77777777">
        <w:tblPrEx>
          <w:tblCellMar>
            <w:top w:w="0" w:type="dxa"/>
            <w:bottom w:w="0" w:type="dxa"/>
          </w:tblCellMar>
        </w:tblPrEx>
        <w:tc>
          <w:tcPr>
            <w:tcW w:w="4675" w:type="dxa"/>
            <w:tcBorders>
              <w:top w:val="single" w:sz="4" w:space="0" w:color="000000"/>
              <w:left w:val="single" w:sz="4" w:space="0" w:color="000000"/>
              <w:bottom w:val="single" w:sz="4" w:space="0" w:color="000000"/>
              <w:right w:val="single" w:sz="4" w:space="0" w:color="000000"/>
            </w:tcBorders>
          </w:tcPr>
          <w:p w14:paraId="0E1110C8" w14:textId="77777777" w:rsidR="00C461E0" w:rsidRPr="00A33992" w:rsidRDefault="00C461E0">
            <w:pPr>
              <w:spacing w:after="700" w:line="300" w:lineRule="auto"/>
              <w:jc w:val="both"/>
              <w:rPr>
                <w:sz w:val="26"/>
                <w:szCs w:val="26"/>
              </w:rPr>
            </w:pPr>
          </w:p>
          <w:p w14:paraId="3FBD8952" w14:textId="77777777" w:rsidR="00C461E0" w:rsidRPr="00A33992" w:rsidRDefault="00000000">
            <w:pPr>
              <w:spacing w:line="300" w:lineRule="auto"/>
              <w:jc w:val="center"/>
              <w:rPr>
                <w:sz w:val="26"/>
                <w:szCs w:val="26"/>
              </w:rPr>
            </w:pPr>
            <w:r w:rsidRPr="00A33992">
              <w:rPr>
                <w:b/>
                <w:bCs/>
                <w:sz w:val="26"/>
                <w:szCs w:val="26"/>
              </w:rPr>
              <w:t>Nguyễn Hải Tùng</w:t>
            </w:r>
          </w:p>
          <w:p w14:paraId="6549DF43" w14:textId="77777777" w:rsidR="00C461E0" w:rsidRPr="00A33992" w:rsidRDefault="00000000">
            <w:pPr>
              <w:spacing w:line="300" w:lineRule="auto"/>
              <w:jc w:val="center"/>
              <w:rPr>
                <w:sz w:val="26"/>
                <w:szCs w:val="26"/>
              </w:rPr>
            </w:pPr>
            <w:r w:rsidRPr="00A33992">
              <w:rPr>
                <w:i/>
                <w:iCs/>
                <w:sz w:val="26"/>
                <w:szCs w:val="26"/>
              </w:rPr>
              <w:t>Ngày...../....../......</w:t>
            </w:r>
          </w:p>
        </w:tc>
        <w:tc>
          <w:tcPr>
            <w:tcW w:w="4675" w:type="dxa"/>
            <w:tcBorders>
              <w:top w:val="single" w:sz="4" w:space="0" w:color="000000"/>
              <w:left w:val="single" w:sz="4" w:space="0" w:color="000000"/>
              <w:bottom w:val="single" w:sz="4" w:space="0" w:color="000000"/>
              <w:right w:val="single" w:sz="4" w:space="0" w:color="000000"/>
            </w:tcBorders>
          </w:tcPr>
          <w:p w14:paraId="5E06EA53" w14:textId="77777777" w:rsidR="00C461E0" w:rsidRPr="00A33992" w:rsidRDefault="00C461E0">
            <w:pPr>
              <w:spacing w:after="700" w:line="300" w:lineRule="auto"/>
              <w:jc w:val="both"/>
              <w:rPr>
                <w:sz w:val="26"/>
                <w:szCs w:val="26"/>
              </w:rPr>
            </w:pPr>
          </w:p>
          <w:p w14:paraId="4A585BF3" w14:textId="77777777" w:rsidR="00C461E0" w:rsidRPr="00A33992" w:rsidRDefault="00000000">
            <w:pPr>
              <w:spacing w:line="300" w:lineRule="auto"/>
              <w:jc w:val="center"/>
              <w:rPr>
                <w:sz w:val="26"/>
                <w:szCs w:val="26"/>
              </w:rPr>
            </w:pPr>
            <w:r w:rsidRPr="00A33992">
              <w:rPr>
                <w:b/>
                <w:bCs/>
                <w:sz w:val="26"/>
                <w:szCs w:val="26"/>
              </w:rPr>
              <w:t>Nguyễn Trí Dũng</w:t>
            </w:r>
          </w:p>
          <w:p w14:paraId="3ACC6566" w14:textId="77777777" w:rsidR="00C461E0" w:rsidRPr="00A33992" w:rsidRDefault="00000000">
            <w:pPr>
              <w:spacing w:line="300" w:lineRule="auto"/>
              <w:jc w:val="center"/>
              <w:rPr>
                <w:sz w:val="26"/>
                <w:szCs w:val="26"/>
              </w:rPr>
            </w:pPr>
            <w:r w:rsidRPr="00A33992">
              <w:rPr>
                <w:i/>
                <w:iCs/>
                <w:sz w:val="26"/>
                <w:szCs w:val="26"/>
              </w:rPr>
              <w:t>Ngày...../....../......</w:t>
            </w:r>
          </w:p>
        </w:tc>
      </w:tr>
    </w:tbl>
    <w:p w14:paraId="0E1DE2C1" w14:textId="77777777" w:rsidR="00155EC6" w:rsidRPr="00A33992" w:rsidRDefault="00155EC6">
      <w:pPr>
        <w:rPr>
          <w:sz w:val="26"/>
          <w:szCs w:val="26"/>
        </w:rPr>
      </w:pPr>
    </w:p>
    <w:sectPr w:rsidR="00155EC6" w:rsidRPr="00A33992">
      <w:pgSz w:w="11907" w:h="16840"/>
      <w:pgMar w:top="1000" w:right="1134" w:bottom="100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4E4399F"/>
    <w:multiLevelType w:val="multilevel"/>
    <w:tmpl w:val="6D48F586"/>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6295556"/>
    <w:multiLevelType w:val="hybridMultilevel"/>
    <w:tmpl w:val="F2A65CB2"/>
    <w:lvl w:ilvl="0" w:tplc="9BC8BCE8">
      <w:start w:val="1"/>
      <w:numFmt w:val="bullet"/>
      <w:lvlText w:val="●"/>
      <w:lvlJc w:val="left"/>
      <w:pPr>
        <w:ind w:left="720" w:hanging="360"/>
      </w:pPr>
    </w:lvl>
    <w:lvl w:ilvl="1" w:tplc="AC72FEE0">
      <w:start w:val="1"/>
      <w:numFmt w:val="bullet"/>
      <w:lvlText w:val="○"/>
      <w:lvlJc w:val="left"/>
      <w:pPr>
        <w:ind w:left="1440" w:hanging="360"/>
      </w:pPr>
    </w:lvl>
    <w:lvl w:ilvl="2" w:tplc="9104AC92">
      <w:start w:val="1"/>
      <w:numFmt w:val="bullet"/>
      <w:lvlText w:val="■"/>
      <w:lvlJc w:val="left"/>
      <w:pPr>
        <w:ind w:left="2160" w:hanging="360"/>
      </w:pPr>
    </w:lvl>
    <w:lvl w:ilvl="3" w:tplc="025E1142">
      <w:start w:val="1"/>
      <w:numFmt w:val="bullet"/>
      <w:lvlText w:val="●"/>
      <w:lvlJc w:val="left"/>
      <w:pPr>
        <w:ind w:left="2880" w:hanging="360"/>
      </w:pPr>
    </w:lvl>
    <w:lvl w:ilvl="4" w:tplc="93661D48">
      <w:start w:val="1"/>
      <w:numFmt w:val="bullet"/>
      <w:lvlText w:val="○"/>
      <w:lvlJc w:val="left"/>
      <w:pPr>
        <w:ind w:left="3600" w:hanging="360"/>
      </w:pPr>
    </w:lvl>
    <w:lvl w:ilvl="5" w:tplc="B306657C">
      <w:start w:val="1"/>
      <w:numFmt w:val="bullet"/>
      <w:lvlText w:val="■"/>
      <w:lvlJc w:val="left"/>
      <w:pPr>
        <w:ind w:left="4320" w:hanging="360"/>
      </w:pPr>
    </w:lvl>
    <w:lvl w:ilvl="6" w:tplc="A8740294">
      <w:start w:val="1"/>
      <w:numFmt w:val="bullet"/>
      <w:lvlText w:val="●"/>
      <w:lvlJc w:val="left"/>
      <w:pPr>
        <w:ind w:left="5040" w:hanging="360"/>
      </w:pPr>
    </w:lvl>
    <w:lvl w:ilvl="7" w:tplc="5036A104">
      <w:start w:val="1"/>
      <w:numFmt w:val="bullet"/>
      <w:lvlText w:val="●"/>
      <w:lvlJc w:val="left"/>
      <w:pPr>
        <w:ind w:left="5760" w:hanging="360"/>
      </w:pPr>
    </w:lvl>
    <w:lvl w:ilvl="8" w:tplc="9260D208">
      <w:start w:val="1"/>
      <w:numFmt w:val="bullet"/>
      <w:lvlText w:val="●"/>
      <w:lvlJc w:val="left"/>
      <w:pPr>
        <w:ind w:left="6480" w:hanging="360"/>
      </w:pPr>
    </w:lvl>
  </w:abstractNum>
  <w:num w:numId="1" w16cid:durableId="1915159393">
    <w:abstractNumId w:val="2"/>
    <w:lvlOverride w:ilvl="0">
      <w:startOverride w:val="1"/>
    </w:lvlOverride>
  </w:num>
  <w:num w:numId="2" w16cid:durableId="467741298">
    <w:abstractNumId w:val="0"/>
  </w:num>
  <w:num w:numId="3" w16cid:durableId="1433549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1E0"/>
    <w:rsid w:val="000D160E"/>
    <w:rsid w:val="00155EC6"/>
    <w:rsid w:val="003A6D14"/>
    <w:rsid w:val="005230AB"/>
    <w:rsid w:val="0091633B"/>
    <w:rsid w:val="00A33992"/>
    <w:rsid w:val="00B133A6"/>
    <w:rsid w:val="00BA0CF9"/>
    <w:rsid w:val="00C4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40D6"/>
  <w15:docId w15:val="{15E46D62-CF7A-4F3D-B564-CD64F824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16</cp:revision>
  <dcterms:created xsi:type="dcterms:W3CDTF">2026-09-17T09:34:00Z</dcterms:created>
  <dcterms:modified xsi:type="dcterms:W3CDTF">2026-09-17T09:52:00Z</dcterms:modified>
</cp:coreProperties>
</file>