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i w:val="false"/>
          <w:iCs w:val="false"/>
          <w:color w:val="1A1A1A"/>
          <w:sz w:val="22"/>
          <w:szCs w:val="22"/>
        </w:rPr>
        <w:t xml:space="preserve">CỘNG HÒA XÃ HỘI CHỦ NGHĨA VIỆT NAM</w:t>
      </w:r>
    </w:p>
    <w:p>
      <w:pPr>
        <w:spacing w:after="60" w:before="60"/>
        <w:jc w:val="center"/>
      </w:pPr>
      <w:r>
        <w:rPr>
          <w:rFonts w:ascii="Times New Roman" w:cs="Times New Roman" w:eastAsia="Times New Roman" w:hAnsi="Times New Roman"/>
          <w:b/>
          <w:bCs/>
          <w:i w:val="false"/>
          <w:iCs w:val="false"/>
          <w:color w:val="1A1A1A"/>
          <w:sz w:val="22"/>
          <w:szCs w:val="22"/>
        </w:rPr>
        <w:t xml:space="preserve">Độc lập – Tự do – Hạnh phúc</w:t>
      </w:r>
    </w:p>
    <w:p>
      <w:pPr>
        <w:spacing w:after="120" w:before="0"/>
        <w:jc w:val="center"/>
      </w:pPr>
      <w:r>
        <w:rPr>
          <w:rFonts w:ascii="Times New Roman" w:cs="Times New Roman" w:eastAsia="Times New Roman" w:hAnsi="Times New Roman"/>
          <w:b w:val="false"/>
          <w:bCs w:val="false"/>
          <w:i w:val="false"/>
          <w:iCs w:val="false"/>
          <w:color w:val="CCCCCC"/>
          <w:sz w:val="22"/>
          <w:szCs w:val="22"/>
        </w:rPr>
        <w:t xml:space="preserve">─────────────────────────────</w:t>
      </w:r>
    </w:p>
    <w:p>
      <w:pPr>
        <w:spacing w:after="80" w:before="400"/>
        <w:jc w:val="center"/>
      </w:pPr>
      <w:r>
        <w:rPr>
          <w:rFonts w:ascii="Times New Roman" w:cs="Times New Roman" w:eastAsia="Times New Roman" w:hAnsi="Times New Roman"/>
          <w:b/>
          <w:bCs/>
          <w:caps/>
          <w:color w:val="1A4E8A"/>
          <w:sz w:val="52"/>
          <w:szCs w:val="52"/>
        </w:rPr>
        <w:t xml:space="preserve">BÁO CÁO KHẢ THI ĐẦU TƯ</w:t>
      </w:r>
    </w:p>
    <w:p>
      <w:pPr>
        <w:spacing w:after="80" w:before="120"/>
        <w:jc w:val="center"/>
      </w:pPr>
      <w:r>
        <w:rPr>
          <w:rFonts w:ascii="Times New Roman" w:cs="Times New Roman" w:eastAsia="Times New Roman" w:hAnsi="Times New Roman"/>
          <w:b/>
          <w:bCs/>
          <w:color w:val="1A4E8A"/>
          <w:sz w:val="36"/>
          <w:szCs w:val="36"/>
        </w:rPr>
        <w:t xml:space="preserve">DỰ ÁN CHUNG CƯ CAO TẦNG THÁP ĐÔI</w:t>
      </w:r>
    </w:p>
    <w:p>
      <w:pPr>
        <w:spacing w:after="400" w:before="60"/>
        <w:jc w:val="center"/>
      </w:pPr>
      <w:r>
        <w:rPr>
          <w:rFonts w:ascii="Times New Roman" w:cs="Times New Roman" w:eastAsia="Times New Roman" w:hAnsi="Times New Roman"/>
          <w:i/>
          <w:iCs/>
          <w:color w:val="555555"/>
          <w:sz w:val="26"/>
          <w:szCs w:val="26"/>
        </w:rPr>
        <w:t xml:space="preserve">TDP Hoàng Thanh, Phường Phổ Yên, Tỉnh Thái Nguyên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Quy mô</w:t>
            </w:r>
          </w:p>
        </w:tc>
        <w:tc>
          <w:tcPr>
            <w:gridSpan w:val="1"/>
            <w:tcBorders>
              <w:top w:val="single" w:color="1A4E8A" w:sz="6"/>
              <w:left w:val="single" w:color="1A4E8A" w:sz="6"/>
              <w:bottom w:val="single" w:color="1A4E8A" w:sz="6"/>
              <w:right w:val="single" w:color="1A4E8A"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tầng nổi + 2 tầng hầm + TUM · 2 Tháp tách biệt · 690 căn hộ</w:t>
            </w:r>
          </w:p>
        </w:tc>
      </w:tr>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Khu đất</w:t>
            </w:r>
          </w:p>
        </w:tc>
        <w:tc>
          <w:tcPr>
            <w:gridSpan w:val="1"/>
            <w:tcBorders>
              <w:top w:val="single" w:color="1A4E8A" w:sz="6"/>
              <w:left w:val="single" w:color="1A4E8A" w:sz="6"/>
              <w:bottom w:val="single" w:color="1A4E8A" w:sz="6"/>
              <w:right w:val="single" w:color="1A4E8A"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6.100 m² tại TDP Hoàng Thanh, Phổ Yên, Thái Nguyên</w:t>
            </w:r>
          </w:p>
        </w:tc>
      </w:tr>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Chiều cao</w:t>
            </w:r>
          </w:p>
        </w:tc>
        <w:tc>
          <w:tcPr>
            <w:gridSpan w:val="1"/>
            <w:tcBorders>
              <w:top w:val="single" w:color="1A4E8A" w:sz="6"/>
              <w:left w:val="single" w:color="1A4E8A" w:sz="6"/>
              <w:bottom w:val="single" w:color="1A4E8A" w:sz="6"/>
              <w:right w:val="single" w:color="1A4E8A"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90 m · Cấp công trình: Cấp I</w:t>
            </w:r>
          </w:p>
        </w:tc>
      </w:tr>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Tổng GFA</w:t>
            </w:r>
          </w:p>
        </w:tc>
        <w:tc>
          <w:tcPr>
            <w:gridSpan w:val="1"/>
            <w:tcBorders>
              <w:top w:val="single" w:color="1A4E8A" w:sz="6"/>
              <w:left w:val="single" w:color="1A4E8A" w:sz="6"/>
              <w:bottom w:val="single" w:color="1A4E8A" w:sz="6"/>
              <w:right w:val="single" w:color="1A4E8A"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70.497 m² · FAR 11,6 lần</w:t>
            </w:r>
          </w:p>
        </w:tc>
      </w:tr>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Tổng mức đầu tư</w:t>
            </w:r>
          </w:p>
        </w:tc>
        <w:tc>
          <w:tcPr>
            <w:gridSpan w:val="1"/>
            <w:tcBorders>
              <w:top w:val="single" w:color="1A4E8A" w:sz="6"/>
              <w:left w:val="single" w:color="1A4E8A" w:sz="6"/>
              <w:bottom w:val="single" w:color="1A4E8A" w:sz="6"/>
              <w:right w:val="single" w:color="1A4E8A"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1.133,3 tỷ VNĐ (không bao gồm M&amp;A)</w:t>
            </w:r>
          </w:p>
        </w:tc>
      </w:tr>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Tổng doanh thu</w:t>
            </w:r>
          </w:p>
        </w:tc>
        <w:tc>
          <w:tcPr>
            <w:gridSpan w:val="1"/>
            <w:tcBorders>
              <w:top w:val="single" w:color="1A4E8A" w:sz="6"/>
              <w:left w:val="single" w:color="1A4E8A" w:sz="6"/>
              <w:bottom w:val="single" w:color="1A4E8A" w:sz="6"/>
              <w:right w:val="single" w:color="1A4E8A"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1.221,6 tỷ VNĐ (chưa VAT)</w:t>
            </w:r>
          </w:p>
        </w:tc>
      </w:tr>
      <w:tr>
        <w:tc>
          <w:tcPr>
            <w:gridSpan w:val="1"/>
            <w:tcBorders>
              <w:top w:val="single" w:color="1A4E8A" w:sz="6"/>
              <w:left w:val="single" w:color="1A4E8A" w:sz="6"/>
              <w:bottom w:val="single" w:color="1A4E8A" w:sz="6"/>
              <w:right w:val="single" w:color="1A4E8A"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Lợi nhuận sau ưu đãi NOXH</w:t>
            </w:r>
          </w:p>
        </w:tc>
        <w:tc>
          <w:tcPr>
            <w:gridSpan w:val="1"/>
            <w:tcBorders>
              <w:top w:val="single" w:color="1A4E8A" w:sz="6"/>
              <w:left w:val="single" w:color="1A4E8A" w:sz="6"/>
              <w:bottom w:val="single" w:color="1A4E8A" w:sz="6"/>
              <w:right w:val="single" w:color="1A4E8A"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6B3C"/>
                <w:sz w:val="20"/>
                <w:szCs w:val="20"/>
              </w:rPr>
              <w:t xml:space="preserve">≈ 148.3 tỷ VNĐ · ROS 12.1% · ROI 13.1%</w:t>
            </w:r>
          </w:p>
        </w:tc>
      </w:tr>
    </w:tbl>
    <w:p>
      <w:pPr>
        <w:spacing w:after="60" w:before="400"/>
        <w:jc w:val="center"/>
      </w:pPr>
      <w:r>
        <w:rPr>
          <w:rFonts w:ascii="Times New Roman" w:cs="Times New Roman" w:eastAsia="Times New Roman" w:hAnsi="Times New Roman"/>
          <w:b w:val="false"/>
          <w:bCs w:val="false"/>
          <w:i/>
          <w:iCs/>
          <w:color w:val="555555"/>
          <w:sz w:val="22"/>
          <w:szCs w:val="22"/>
        </w:rPr>
        <w:t xml:space="preserve">Thái Nguyên, năm 2025</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MỤC LỤC</w:t>
      </w:r>
    </w:p>
    <w:p>
      <w:pPr>
        <w:tabs>
          <w:tab w:val="right" w:pos="9640"/>
        </w:tabs>
        <w:spacing w:after="60" w:before="60"/>
      </w:pPr>
      <w:r>
        <w:rPr>
          <w:rFonts w:ascii="Times New Roman" w:cs="Times New Roman" w:eastAsia="Times New Roman" w:hAnsi="Times New Roman"/>
          <w:color w:val="1A1A1A"/>
          <w:sz w:val="22"/>
          <w:szCs w:val="22"/>
        </w:rPr>
        <w:t xml:space="preserve">Tóm tắt điều hành</w:t>
      </w:r>
      <w:r>
        <w:rPr>
          <w:rFonts w:ascii="Times New Roman" w:cs="Times New Roman" w:eastAsia="Times New Roman" w:hAnsi="Times New Roman"/>
          <w:color w:val="1A4E8A"/>
          <w:sz w:val="22"/>
          <w:szCs w:val="22"/>
        </w:rPr>
        <w:t xml:space="preserve">	3</w:t>
      </w:r>
    </w:p>
    <w:p>
      <w:pPr>
        <w:tabs>
          <w:tab w:val="right" w:pos="9640"/>
        </w:tabs>
        <w:spacing w:after="60" w:before="60"/>
      </w:pPr>
      <w:r>
        <w:rPr>
          <w:rFonts w:ascii="Times New Roman" w:cs="Times New Roman" w:eastAsia="Times New Roman" w:hAnsi="Times New Roman"/>
          <w:color w:val="1A1A1A"/>
          <w:sz w:val="22"/>
          <w:szCs w:val="22"/>
        </w:rPr>
        <w:t xml:space="preserve">I. Tổng quan dự án và vị trí địa lý</w:t>
      </w:r>
      <w:r>
        <w:rPr>
          <w:rFonts w:ascii="Times New Roman" w:cs="Times New Roman" w:eastAsia="Times New Roman" w:hAnsi="Times New Roman"/>
          <w:color w:val="1A4E8A"/>
          <w:sz w:val="22"/>
          <w:szCs w:val="22"/>
        </w:rPr>
        <w:t xml:space="preserve">	4</w:t>
      </w:r>
    </w:p>
    <w:p>
      <w:pPr>
        <w:tabs>
          <w:tab w:val="right" w:pos="9640"/>
        </w:tabs>
        <w:spacing w:after="60" w:before="60"/>
      </w:pPr>
      <w:r>
        <w:rPr>
          <w:rFonts w:ascii="Times New Roman" w:cs="Times New Roman" w:eastAsia="Times New Roman" w:hAnsi="Times New Roman"/>
          <w:color w:val="1A1A1A"/>
          <w:sz w:val="22"/>
          <w:szCs w:val="22"/>
        </w:rPr>
        <w:t xml:space="preserve">II. Phương án quy hoạch kiến trúc (theo hồ sơ thiết kế)</w:t>
      </w:r>
      <w:r>
        <w:rPr>
          <w:rFonts w:ascii="Times New Roman" w:cs="Times New Roman" w:eastAsia="Times New Roman" w:hAnsi="Times New Roman"/>
          <w:color w:val="1A4E8A"/>
          <w:sz w:val="22"/>
          <w:szCs w:val="22"/>
        </w:rPr>
        <w:t xml:space="preserve">	5</w:t>
      </w:r>
    </w:p>
    <w:p>
      <w:pPr>
        <w:tabs>
          <w:tab w:val="right" w:pos="9640"/>
        </w:tabs>
        <w:spacing w:after="60" w:before="60"/>
      </w:pPr>
      <w:r>
        <w:rPr>
          <w:rFonts w:ascii="Times New Roman" w:cs="Times New Roman" w:eastAsia="Times New Roman" w:hAnsi="Times New Roman"/>
          <w:color w:val="1A1A1A"/>
          <w:sz w:val="22"/>
          <w:szCs w:val="22"/>
        </w:rPr>
        <w:t xml:space="preserve">III. Chỉ tiêu quy hoạch và cơ cấu chức năng</w:t>
      </w:r>
      <w:r>
        <w:rPr>
          <w:rFonts w:ascii="Times New Roman" w:cs="Times New Roman" w:eastAsia="Times New Roman" w:hAnsi="Times New Roman"/>
          <w:color w:val="1A4E8A"/>
          <w:sz w:val="22"/>
          <w:szCs w:val="22"/>
        </w:rPr>
        <w:t xml:space="preserve">	6</w:t>
      </w:r>
    </w:p>
    <w:p>
      <w:pPr>
        <w:tabs>
          <w:tab w:val="right" w:pos="9640"/>
        </w:tabs>
        <w:spacing w:after="60" w:before="60"/>
      </w:pPr>
      <w:r>
        <w:rPr>
          <w:rFonts w:ascii="Times New Roman" w:cs="Times New Roman" w:eastAsia="Times New Roman" w:hAnsi="Times New Roman"/>
          <w:color w:val="1A1A1A"/>
          <w:sz w:val="22"/>
          <w:szCs w:val="22"/>
        </w:rPr>
        <w:t xml:space="preserve">IV. Tổng mức đầu tư</w:t>
      </w:r>
      <w:r>
        <w:rPr>
          <w:rFonts w:ascii="Times New Roman" w:cs="Times New Roman" w:eastAsia="Times New Roman" w:hAnsi="Times New Roman"/>
          <w:color w:val="1A4E8A"/>
          <w:sz w:val="22"/>
          <w:szCs w:val="22"/>
        </w:rPr>
        <w:t xml:space="preserve">	8</w:t>
      </w:r>
    </w:p>
    <w:p>
      <w:pPr>
        <w:tabs>
          <w:tab w:val="right" w:pos="9640"/>
        </w:tabs>
        <w:spacing w:after="60" w:before="60"/>
      </w:pPr>
      <w:r>
        <w:rPr>
          <w:rFonts w:ascii="Times New Roman" w:cs="Times New Roman" w:eastAsia="Times New Roman" w:hAnsi="Times New Roman"/>
          <w:color w:val="1A1A1A"/>
          <w:sz w:val="22"/>
          <w:szCs w:val="22"/>
        </w:rPr>
        <w:t xml:space="preserve">V. Phân tích thị trường và giá bán</w:t>
      </w:r>
      <w:r>
        <w:rPr>
          <w:rFonts w:ascii="Times New Roman" w:cs="Times New Roman" w:eastAsia="Times New Roman" w:hAnsi="Times New Roman"/>
          <w:color w:val="1A4E8A"/>
          <w:sz w:val="22"/>
          <w:szCs w:val="22"/>
        </w:rPr>
        <w:t xml:space="preserve">	10</w:t>
      </w:r>
    </w:p>
    <w:p>
      <w:pPr>
        <w:tabs>
          <w:tab w:val="right" w:pos="9640"/>
        </w:tabs>
        <w:spacing w:after="60" w:before="60"/>
      </w:pPr>
      <w:r>
        <w:rPr>
          <w:rFonts w:ascii="Times New Roman" w:cs="Times New Roman" w:eastAsia="Times New Roman" w:hAnsi="Times New Roman"/>
          <w:color w:val="1A1A1A"/>
          <w:sz w:val="22"/>
          <w:szCs w:val="22"/>
        </w:rPr>
        <w:t xml:space="preserve">VI. Phân tích hiệu quả đầu tư (FS)</w:t>
      </w:r>
      <w:r>
        <w:rPr>
          <w:rFonts w:ascii="Times New Roman" w:cs="Times New Roman" w:eastAsia="Times New Roman" w:hAnsi="Times New Roman"/>
          <w:color w:val="1A4E8A"/>
          <w:sz w:val="22"/>
          <w:szCs w:val="22"/>
        </w:rPr>
        <w:t xml:space="preserve">	11</w:t>
      </w:r>
    </w:p>
    <w:p>
      <w:pPr>
        <w:tabs>
          <w:tab w:val="right" w:pos="9640"/>
        </w:tabs>
        <w:spacing w:after="60" w:before="60"/>
      </w:pPr>
      <w:r>
        <w:rPr>
          <w:rFonts w:ascii="Times New Roman" w:cs="Times New Roman" w:eastAsia="Times New Roman" w:hAnsi="Times New Roman"/>
          <w:color w:val="1A1A1A"/>
          <w:sz w:val="22"/>
          <w:szCs w:val="22"/>
        </w:rPr>
        <w:t xml:space="preserve">VII. Ưu đãi nhà ở xã hội (+60 tỷ)</w:t>
      </w:r>
      <w:r>
        <w:rPr>
          <w:rFonts w:ascii="Times New Roman" w:cs="Times New Roman" w:eastAsia="Times New Roman" w:hAnsi="Times New Roman"/>
          <w:color w:val="1A4E8A"/>
          <w:sz w:val="22"/>
          <w:szCs w:val="22"/>
        </w:rPr>
        <w:t xml:space="preserve">	13</w:t>
      </w:r>
    </w:p>
    <w:p>
      <w:pPr>
        <w:tabs>
          <w:tab w:val="right" w:pos="9640"/>
        </w:tabs>
        <w:spacing w:after="60" w:before="60"/>
      </w:pPr>
      <w:r>
        <w:rPr>
          <w:rFonts w:ascii="Times New Roman" w:cs="Times New Roman" w:eastAsia="Times New Roman" w:hAnsi="Times New Roman"/>
          <w:color w:val="1A1A1A"/>
          <w:sz w:val="22"/>
          <w:szCs w:val="22"/>
        </w:rPr>
        <w:t xml:space="preserve">VIII. Phân tích rủi ro và độ nhạy</w:t>
      </w:r>
      <w:r>
        <w:rPr>
          <w:rFonts w:ascii="Times New Roman" w:cs="Times New Roman" w:eastAsia="Times New Roman" w:hAnsi="Times New Roman"/>
          <w:color w:val="1A4E8A"/>
          <w:sz w:val="22"/>
          <w:szCs w:val="22"/>
        </w:rPr>
        <w:t xml:space="preserve">	14</w:t>
      </w:r>
    </w:p>
    <w:p>
      <w:pPr>
        <w:tabs>
          <w:tab w:val="right" w:pos="9640"/>
        </w:tabs>
        <w:spacing w:after="60" w:before="60"/>
      </w:pPr>
      <w:r>
        <w:rPr>
          <w:rFonts w:ascii="Times New Roman" w:cs="Times New Roman" w:eastAsia="Times New Roman" w:hAnsi="Times New Roman"/>
          <w:color w:val="1A1A1A"/>
          <w:sz w:val="22"/>
          <w:szCs w:val="22"/>
        </w:rPr>
        <w:t xml:space="preserve">IX. Kế hoạch triển khai</w:t>
      </w:r>
      <w:r>
        <w:rPr>
          <w:rFonts w:ascii="Times New Roman" w:cs="Times New Roman" w:eastAsia="Times New Roman" w:hAnsi="Times New Roman"/>
          <w:color w:val="1A4E8A"/>
          <w:sz w:val="22"/>
          <w:szCs w:val="22"/>
        </w:rPr>
        <w:t xml:space="preserve">	15</w:t>
      </w:r>
    </w:p>
    <w:p>
      <w:pPr>
        <w:tabs>
          <w:tab w:val="right" w:pos="9640"/>
        </w:tabs>
        <w:spacing w:after="60" w:before="60"/>
      </w:pPr>
      <w:r>
        <w:rPr>
          <w:rFonts w:ascii="Times New Roman" w:cs="Times New Roman" w:eastAsia="Times New Roman" w:hAnsi="Times New Roman"/>
          <w:color w:val="1A1A1A"/>
          <w:sz w:val="22"/>
          <w:szCs w:val="22"/>
        </w:rPr>
        <w:t xml:space="preserve">X. Kết luận và kiến nghị</w:t>
      </w:r>
      <w:r>
        <w:rPr>
          <w:rFonts w:ascii="Times New Roman" w:cs="Times New Roman" w:eastAsia="Times New Roman" w:hAnsi="Times New Roman"/>
          <w:color w:val="1A4E8A"/>
          <w:sz w:val="22"/>
          <w:szCs w:val="22"/>
        </w:rPr>
        <w:t xml:space="preserve">	16</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TÓM TẮT ĐIỀU HÀNH</w:t>
      </w:r>
    </w:p>
    <w:p>
      <w:pPr>
        <w:spacing w:after="60" w:before="60"/>
        <w:jc w:val="both"/>
      </w:pPr>
      <w:r>
        <w:rPr>
          <w:rFonts w:ascii="Times New Roman" w:cs="Times New Roman" w:eastAsia="Times New Roman" w:hAnsi="Times New Roman"/>
          <w:b w:val="false"/>
          <w:bCs w:val="false"/>
          <w:i w:val="false"/>
          <w:iCs w:val="false"/>
          <w:color w:val="1A1A1A"/>
          <w:sz w:val="22"/>
          <w:szCs w:val="22"/>
        </w:rPr>
        <w:t xml:space="preserve">Báo cáo khả thi này trình bày đánh giá toàn diện về dự án đầu tư xây dựng Khu chung cư cao tầng Tháp đôi tại TDP Hoàng Thanh, Phổ Yên, Thái Nguyên. Dự án 25 tầng nổi (+2 hầm), tổng GFA 70.497 m², bao gồm hai tháp tách biệt từ tầng 3: Tháp Chung cư Thương mại (TM) và Tháp Nhà ở Xã hội (NOXH).</w:t>
      </w:r>
    </w:p>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Chỉ số tài chính cốt lõi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500"/>
        <w:gridCol w:w="2300"/>
        <w:gridCol w:w="28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Chỉ số</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Giá trị</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Ghi chú</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GFA (theo hồ sơ TK)</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70.497 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Hầm+T1-T25+TUM; FAR 11,6</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căn hộ</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690 căn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352 căn TM + 338 căn NOXH</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NSA căn hộ tổng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42.918 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Hiệu suất ~76,5% GFA tháp</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Giá bán TM / NOXH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28 / 20 tr/m²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Căn hộ; TMDV 40 tr/m²</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mức đầu tư (không M&amp;A)</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1133.3 tỷ</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Gồm tiền SDĐ TM + toàn bộ chi phí XD</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doanh thu</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1221.6 tỷ</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TM+NOXH+TMDV+DV</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Lợi nhuận (trước ưu đãi)</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88.3 tỷ</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DT - TMDT</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Lợi nhuận (sau ưu đãi NOXH +60 tỷ)</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 148.3 tỷ</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Mức khả thi tốt</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ROS / ROI</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12.1% / 13.1%</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Tốt cho BĐS tỉnh</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Điểm hòa vốn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87.9% giỏ hàng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~607/690 căn</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Thời gian hoàn vốn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~30 tháng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Từ khởi công → thu 95% DT</w:t>
            </w:r>
          </w:p>
        </w:tc>
      </w:tr>
    </w:tbl>
    <w:p>
      <w:pPr>
        <w:spacing w:after="0" w:before="0"/>
      </w:pPr>
      <w:r>
        <w:t xml:space="preserve"/>
      </w:r>
    </w:p>
    <w:p>
      <w:pPr>
        <w:pBdr>
          <w:left w:val="single" w:color="7B4F00" w:sz="18"/>
        </w:pBdr>
        <w:spacing w:after="80" w:before="80"/>
        <w:ind w:left="360"/>
      </w:pPr>
      <w:r>
        <w:rPr>
          <w:rFonts w:ascii="Times New Roman" w:cs="Times New Roman" w:eastAsia="Times New Roman" w:hAnsi="Times New Roman"/>
          <w:i/>
          <w:iCs/>
          <w:color w:val="7B4F00"/>
          <w:sz w:val="20"/>
          <w:szCs w:val="20"/>
        </w:rPr>
        <w:t xml:space="preserve">Lưu ý: Báo cáo này sử dụng số liệu thực từ hồ sơ thiết kế (GFA 70.497 m², 690 căn hộ). Chi phí M&amp;A 120 tỷ đã được loại trừ theo yêu cầu; thay vào đó tiền sử dụng đất phần TM (~185 tỷ) được hạch toán riêng theo Luật Đất đai 2024.</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I. TỔNG QUAN DỰ ÁN VÀ VỊ TRÍ ĐỊA LÝ</w:t>
      </w:r>
    </w:p>
    <w:p>
      <w:pPr>
        <w:pStyle w:val="Heading2"/>
        <w:spacing w:after="80" w:before="200"/>
      </w:pPr>
      <w:r>
        <w:rPr>
          <w:rFonts w:ascii="Times New Roman" w:cs="Times New Roman" w:eastAsia="Times New Roman" w:hAnsi="Times New Roman"/>
          <w:b/>
          <w:bCs/>
          <w:color w:val="1A4E8A"/>
          <w:sz w:val="24"/>
          <w:szCs w:val="24"/>
        </w:rPr>
        <w:t xml:space="preserve">1.1 Thông tin chung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Nội dung</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Chi tiết</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Tên dự án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Khu Chung cư Cao tầng Tháp đôi Phổ Yên</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Địa điểm</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TDP Hoàng Thanh, Phường Phổ Yên, Tỉnh Thái Nguyên</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Quy mô</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tầng nổi + 2 tầng hầm + TUM · Tổng chiều cao 90 m · 690 căn hộ</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Cấp công trình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Cấp I (chiều cao 90 m; PCCC theo QCVN 06:2022)</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Cơ cấu khối</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Hầm+T1+T2: khối đế hợp khối · Từ T3-T25: 2 tháp tách biệt (Tháp TM + Tháp NOXH)</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Căn cứ pháp lý</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Luật Nhà ở 2023 · Luật Đất đai 2024 · QCVN 01:2021/BXD · QCVN 06:2022/BXD · Nghị định 100/2015 sửa đổi</w:t>
            </w:r>
          </w:p>
        </w:tc>
      </w:tr>
    </w:tbl>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1.2 Phân tích vị trí chiến lược</w:t>
      </w:r>
    </w:p>
    <w:p>
      <w:pPr>
        <w:spacing w:after="60" w:before="60"/>
        <w:jc w:val="both"/>
      </w:pPr>
      <w:r>
        <w:rPr>
          <w:rFonts w:ascii="Times New Roman" w:cs="Times New Roman" w:eastAsia="Times New Roman" w:hAnsi="Times New Roman"/>
          <w:b w:val="false"/>
          <w:bCs w:val="false"/>
          <w:i w:val="false"/>
          <w:iCs w:val="false"/>
          <w:color w:val="1A1A1A"/>
          <w:sz w:val="22"/>
          <w:szCs w:val="22"/>
        </w:rPr>
        <w:t xml:space="preserve">Khu đất 6.100 m² tại TDP Hoàng Thanh nằm ở lõi đô thị công nghiệp năng động nhất tỉnh Thái Nguyên:</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Bán kính 2–4 km từ KCN Yên Bình (Samsung Thái Nguyên) — thủ phủ lao động trình độ cao, chuyên gia nước ngoài.</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Cửa ngõ Thủ đô: Phổ Yên tiếp giáp Sóc Sơn, khoảng 45–50 phút về Hà Nội, 20 phút về TP. Thái Nguyên.</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Hưởng lợi từ quy hoạch Vành đai 5 và tuyến nối Đông Anh – Yên Bình đang triển khai.</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Đại dương xanh: Phổ Yên chưa có chung cư cao tầng đáp ứng tiêu chuẩn quốc tế — dự án đặt nền móng cho phân khúc mới.</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II. PHƯƠNG ÁN QUY HOẠCH KIẾN TRÚC</w:t>
      </w:r>
    </w:p>
    <w:p>
      <w:pPr>
        <w:pStyle w:val="Heading2"/>
        <w:spacing w:after="80" w:before="200"/>
      </w:pPr>
      <w:r>
        <w:rPr>
          <w:rFonts w:ascii="Times New Roman" w:cs="Times New Roman" w:eastAsia="Times New Roman" w:hAnsi="Times New Roman"/>
          <w:b/>
          <w:bCs/>
          <w:color w:val="1A4E8A"/>
          <w:sz w:val="24"/>
          <w:szCs w:val="24"/>
        </w:rPr>
        <w:t xml:space="preserve">2.1 Cơ cấu phân khu chức năng theo hồ sơ thiết kế</w:t>
      </w:r>
    </w:p>
    <w:p>
      <w:pPr>
        <w:spacing w:after="60" w:before="60"/>
        <w:jc w:val="both"/>
      </w:pPr>
      <w:r>
        <w:rPr>
          <w:rFonts w:ascii="Times New Roman" w:cs="Times New Roman" w:eastAsia="Times New Roman" w:hAnsi="Times New Roman"/>
          <w:b w:val="false"/>
          <w:bCs w:val="false"/>
          <w:i w:val="false"/>
          <w:iCs w:val="false"/>
          <w:color w:val="1A1A1A"/>
          <w:sz w:val="22"/>
          <w:szCs w:val="22"/>
        </w:rPr>
        <w:t xml:space="preserve">Dự án được thiết kế theo mô hình PODIUM + DUAL TOWER với đặc điểm:</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Hầm 1 và Hầm 2: Đỗ xe cho toàn bộ 690 căn hộ, tổng 4.435 m² (2.245 + 2.190 m²).</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Tầng 1 + Tầng 2 (khối đế hợp khối 3.540 m²/sàn): Thương mại dịch vụ (5.084 m² GFA) + hành lang, sảnh.</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Từ Tầng 3 → Tầng 25 (23 tầng): Tách thành 2 tháp độc lập — Tháp TM (1.222 m²/tầng) và Tháp NOXH (1.218 m²/tầng).</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TUM (217 m²): Thang máy, kỹ thuật mái.</w:t>
      </w:r>
    </w:p>
    <w:p>
      <w:pPr>
        <w:spacing w:after="0" w:before="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200"/>
        <w:gridCol w:w="18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Hạng mục</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sàn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căn hộ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CC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DV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đỗ xe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Ghi chú</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Tầng hầm 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3.540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1.295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2.245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Đỗ xe</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Tầng hầm 1</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3.540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1.350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2.190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Đỗ xe</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Tầng 1</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3.540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498</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3.042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Shophouse, sảnh</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Tầng 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3.540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1.498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2.042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TMDV, tiện ích</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Tầng 3–25
(23 tầng)</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2.440/tầng
(56.120)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1.861/tầng
(42.803)</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579/tầng</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TM 1.222 m²
+ Tháp NOXH 1.218 m²</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TUM</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217</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217</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Kỹ thuật mái</w:t>
            </w:r>
          </w:p>
        </w:tc>
      </w:tr>
      <w:tr>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TỔNG CỘNG</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70.497</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42.918</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18.060</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5.084</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4.435</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FFFFFF"/>
                <w:sz w:val="20"/>
                <w:szCs w:val="20"/>
              </w:rPr>
              <w:t xml:space="preserve">FAR = 11,6 lần</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Tỷ lệ</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100%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60,9%</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25,6%</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6,3%</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(theo hồ sơ TK)</w:t>
            </w:r>
          </w:p>
        </w:tc>
      </w:tr>
    </w:tbl>
    <w:p>
      <w:pPr>
        <w:spacing w:after="0" w:before="0"/>
      </w:pPr>
      <w:r>
        <w:t xml:space="preserve"/>
      </w:r>
    </w:p>
    <w:p>
      <w:pPr>
        <w:pBdr>
          <w:left w:val="single" w:color="1A4E8A" w:sz="18"/>
        </w:pBdr>
        <w:spacing w:after="80" w:before="80"/>
        <w:ind w:left="360"/>
      </w:pPr>
      <w:r>
        <w:rPr>
          <w:rFonts w:ascii="Times New Roman" w:cs="Times New Roman" w:eastAsia="Times New Roman" w:hAnsi="Times New Roman"/>
          <w:i/>
          <w:iCs/>
          <w:color w:val="1A4E8A"/>
          <w:sz w:val="20"/>
          <w:szCs w:val="20"/>
        </w:rPr>
        <w:t xml:space="preserve">Nguồn: Bảng Phân khu chức năng và Bảng Chỉ tiêu xây dựng từ hồ sơ thiết kế tiền khả thi.</w:t>
      </w:r>
    </w:p>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2.2 Cơ cấu căn hộ theo loại (theo hồ sơ TK)</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1400"/>
        <w:gridCol w:w="1200"/>
        <w:gridCol w:w="39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Loại căn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thông thủy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Số căn
T3–T25</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Tổng số căn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Tỷ lệ</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Phân loại đề xuất</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C1</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46</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46</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6,7%</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TM (3PN cao cấp)</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100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88+4=92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92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13,3%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TM (3PN)</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C3</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132+6=138</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138</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20,0%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TM (2PN+1)</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60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176+8=184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184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26,7%</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NOXH (2PN – ≤70m² ✓)</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132+6=138</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138</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20,0%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NOXH (1PN+1)</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88+4=92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92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13,3%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NOXH (Studio)</w:t>
            </w:r>
          </w:p>
        </w:tc>
      </w:tr>
      <w:tr>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TỔNG</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FFFFFF"/>
                <w:sz w:val="20"/>
                <w:szCs w:val="20"/>
              </w:rPr>
              <w:t xml:space="preserve">—</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FFFFFF"/>
                <w:sz w:val="20"/>
                <w:szCs w:val="20"/>
              </w:rPr>
              <w:t xml:space="preserve">660+30=690</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690</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FFFFFF"/>
                <w:sz w:val="20"/>
                <w:szCs w:val="20"/>
              </w:rPr>
              <w:t xml:space="preserve">100%</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FFFFFF"/>
                <w:sz w:val="20"/>
                <w:szCs w:val="20"/>
              </w:rPr>
              <w:t xml:space="preserve">NSA tổng: 42.918 m²</w:t>
            </w:r>
          </w:p>
        </w:tc>
      </w:tr>
    </w:tbl>
    <w:p>
      <w:pPr>
        <w:spacing w:after="0" w:before="0"/>
      </w:pPr>
      <w:r>
        <w:t xml:space="preserve"/>
      </w:r>
    </w:p>
    <w:p>
      <w:pPr>
        <w:pBdr>
          <w:left w:val="single" w:color="7B4F00" w:sz="18"/>
        </w:pBdr>
        <w:spacing w:after="80" w:before="80"/>
        <w:ind w:left="360"/>
      </w:pPr>
      <w:r>
        <w:rPr>
          <w:rFonts w:ascii="Times New Roman" w:cs="Times New Roman" w:eastAsia="Times New Roman" w:hAnsi="Times New Roman"/>
          <w:i/>
          <w:iCs/>
          <w:color w:val="7B4F00"/>
          <w:sz w:val="20"/>
          <w:szCs w:val="20"/>
        </w:rPr>
        <w:t xml:space="preserve">Phân loại TM/NOXH theo căn là đề xuất tính toán: C1–C3 (≥80 m²) vào Tháp TM; C4–C6 (≤60 m²) vào Tháp NOXH — đúng tiêu chí diện tích NOXH tối đa 70 m²/căn theo quy định.</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III. CHỈ TIÊU QUY HOẠCH VÀ CƠ CẤU CHỨC NĂNG</w:t>
      </w:r>
    </w:p>
    <w:p>
      <w:pPr>
        <w:pStyle w:val="Heading2"/>
        <w:spacing w:after="80" w:before="200"/>
      </w:pPr>
      <w:r>
        <w:rPr>
          <w:rFonts w:ascii="Times New Roman" w:cs="Times New Roman" w:eastAsia="Times New Roman" w:hAnsi="Times New Roman"/>
          <w:b/>
          <w:bCs/>
          <w:color w:val="1A4E8A"/>
          <w:sz w:val="24"/>
          <w:szCs w:val="24"/>
        </w:rPr>
        <w:t xml:space="preserve">3.1 Bảng cơ cấu sử dụng đất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200"/>
        <w:gridCol w:w="23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STT</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Loại đất</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Diện tích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Tỷ lệ (%)</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Đất xây dựng công trình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3.580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58,69%</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Đất bồn hoa cây xanh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1.220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20,00%</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Đất giao thông (sân, đường đi)</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1.300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21,31%</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TỔNG CỘNG</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6.100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100%</w:t>
            </w:r>
          </w:p>
        </w:tc>
      </w:tr>
    </w:tbl>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3.2 Chỉ tiêu xây dựng tổng hợp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000"/>
        <w:gridCol w:w="1700"/>
        <w:gridCol w:w="27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STT</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Hạng mục chỉ tiêu</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Đơn vị</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Giá trị</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Ghi chú / Cách tính</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THÔNG TIN KHU ĐẤT</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Diện tích khu đất nghiên cứu</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6.100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Ranh giới TDP Hoàng Thanh</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Ranh giới khu đất xây dựng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3.580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Mật độ 58,69%</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Hệ số sử dụng đất (FAR)</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lần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11,6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70.497 / 6.100</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Diện tích sàn + vườn trên mái</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2.520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Khu vườn mái T2 / sân thượng</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II</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CHIỀU CAO &amp; CẤP CÔNG TRÌNH</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5</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chiều cao công trình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90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Tính từ nền sàn hầm đến nóc TUM</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6</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Cấp công trình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Cấp I</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≥50m (QCVN 06:2022)</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Chiều cao tầng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Hầm 3,6 · T1 4,8 · T2 4,8 · T3–25 3,3 · TUM 3,3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Theo hồ sơ TK</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III</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SÀN XÂY DỰNG</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diện tích sàn xây dựng (GFA)</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70.497</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Theo phân khu chức năng</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9</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GFA Tháp TM (T3–T25)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28.106</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1.222 m²/tầng × 23 tầng</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GFA Tháp NOXH (T3–T25)</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27.014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1.218 m²/tầng × 23 tầng</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11</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NSA căn hộ (thông thủy)</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42.918</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Hiệu suất ~76,5% GFA tháp</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GFA Thương mại dịch vụ T1+T2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5.084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T1: 3.042 DV + T2: 2.042 DV</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13</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GFA Đỗ xe (hầm 1 + hầm 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4.435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2.190 + 2.245 m²</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IV</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DÂN SỐ &amp; CĂN HỘ</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số căn hộ</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căn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690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C1(46)+C2(92)+C3(138)+C4(184)+C5(138)+C6(92)</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Dân số dự kiến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người</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2.415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690 × 3,5 người/căn</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Số căn đề xuất Tháp TM (C1–C3)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căn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276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46+92+138 = 276 căn; NSA ~21.888 m²</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17</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Số căn đề xuất Tháp NOXH (C4–C6)</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căn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414</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184+138+92 = 414 căn; NSA ~21.030 m²</w:t>
            </w:r>
          </w:p>
        </w:tc>
      </w:tr>
    </w:tbl>
    <w:p>
      <w:r>
        <w:br w:type="page"/>
      </w:r>
    </w:p>
    <w:p>
      <w:pPr>
        <w:pStyle w:val="Heading1"/>
        <w:spacing w:after="120" w:before="280"/>
      </w:pPr>
      <w:r>
        <w:rPr>
          <w:rFonts w:ascii="Times New Roman" w:cs="Times New Roman" w:eastAsia="Times New Roman" w:hAnsi="Times New Roman"/>
          <w:b/>
          <w:bCs/>
          <w:caps/>
          <w:color w:val="1A4E8A"/>
          <w:sz w:val="28"/>
          <w:szCs w:val="28"/>
        </w:rPr>
        <w:t xml:space="preserve">IV. TỔNG MỨC ĐẦU TƯ</w:t>
      </w:r>
    </w:p>
    <w:p>
      <w:pPr>
        <w:pStyle w:val="Heading2"/>
        <w:spacing w:after="80" w:before="200"/>
      </w:pPr>
      <w:r>
        <w:rPr>
          <w:rFonts w:ascii="Times New Roman" w:cs="Times New Roman" w:eastAsia="Times New Roman" w:hAnsi="Times New Roman"/>
          <w:b/>
          <w:bCs/>
          <w:color w:val="1A4E8A"/>
          <w:sz w:val="24"/>
          <w:szCs w:val="24"/>
        </w:rPr>
        <w:t xml:space="preserve">4.1 Chi tiết theo hạng mục (không bao gồm M&amp;A)</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500"/>
        <w:gridCol w:w="1200"/>
        <w:gridCol w:w="1400"/>
        <w:gridCol w:w="21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STT</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Khoản mục chi phí</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Khối lượng</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Đơn giá
(tr/m²)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Thành tiền
(tỷ VNĐ)</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Ghi chú</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w:t>
            </w:r>
          </w:p>
        </w:tc>
        <w:tc>
          <w:tcPr>
            <w:gridSpan w:val="4"/>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7B4F00"/>
                <w:sz w:val="20"/>
                <w:szCs w:val="20"/>
              </w:rPr>
              <w:t xml:space="preserve">TIỀN SỬ DỤNG ĐẤT (LUR) – PHẦN TM</w:t>
            </w:r>
          </w:p>
        </w:tc>
        <w:tc>
          <w:tcPr>
            <w:gridSpan w:val="1"/>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7B4F00"/>
                <w:sz w:val="20"/>
                <w:szCs w:val="20"/>
              </w:rPr>
              <w:t xml:space="preserve">185,0</w:t>
            </w:r>
          </w:p>
        </w:tc>
      </w:tr>
      <w:tr>
        <w:tc>
          <w:tcPr>
            <w:gridSpan w:val="1"/>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FFF3CD" w:val="clear"/>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Tiền SDĐ tháp TM theo Luật Đất đai 2024</w:t>
            </w:r>
          </w:p>
        </w:tc>
        <w:tc>
          <w:tcPr>
            <w:gridSpan w:val="1"/>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~21.888 m² NSA</w:t>
            </w:r>
          </w:p>
        </w:tc>
        <w:tc>
          <w:tcPr>
            <w:gridSpan w:val="1"/>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~8,5 tr/m²</w:t>
            </w:r>
          </w:p>
        </w:tc>
        <w:tc>
          <w:tcPr>
            <w:gridSpan w:val="1"/>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185,0</w:t>
            </w:r>
          </w:p>
        </w:tc>
        <w:tc>
          <w:tcPr>
            <w:gridSpan w:val="1"/>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Phần NOXH được miễn theo LH ở 2023</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II</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CHI PHÍ XÂY DỰNG</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792.2</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w:t>
            </w:r>
          </w:p>
        </w:tc>
        <w:tc>
          <w:tcPr>
            <w:gridSpan w:val="1"/>
            <w:tcBorders>
              <w:top w:val="single" w:color="CCCCCC" w:sz="6"/>
              <w:left w:val="single" w:color="CCCCCC" w:sz="6"/>
              <w:bottom w:val="single" w:color="CCCCCC" w:sz="6"/>
              <w:right w:val="single" w:color="CCCCCC" w:sz="6"/>
            </w:tcBorders>
            <w:shd w:fill="F4F4F4" w:val="clear"/>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Tầng hầm 1+2 (đỗ xe, kết cấu ngầm)</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7.080 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56.6</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Bê tông chống thấm, hệ thống VP</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w:t>
            </w:r>
          </w:p>
        </w:tc>
        <w:tc>
          <w:tcPr>
            <w:gridSpan w:val="1"/>
            <w:tcBorders>
              <w:top w:val="single" w:color="CCCCCC" w:sz="6"/>
              <w:left w:val="single" w:color="CCCCCC" w:sz="6"/>
              <w:bottom w:val="single" w:color="CCCCCC" w:sz="6"/>
              <w:right w:val="single" w:color="CCCCCC" w:sz="6"/>
            </w:tcBorders>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T1+T2 – Khối TMDV (7.080 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7.080 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85.0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Hoàn thiện cao, granite, kính Low-e</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w:t>
            </w:r>
          </w:p>
        </w:tc>
        <w:tc>
          <w:tcPr>
            <w:gridSpan w:val="1"/>
            <w:tcBorders>
              <w:top w:val="single" w:color="CCCCCC" w:sz="6"/>
              <w:left w:val="single" w:color="CCCCCC" w:sz="6"/>
              <w:bottom w:val="single" w:color="CCCCCC" w:sz="6"/>
              <w:right w:val="single" w:color="CCCCCC" w:sz="6"/>
            </w:tcBorders>
            <w:shd w:fill="F4F4F4" w:val="clear"/>
            <w:tcMar>
              <w:top w:type="dxa" w:w="80"/>
              <w:left w:type="dxa" w:w="36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Tháp TM T3–T25 (28.106 m² GFA)</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28.106 m²</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351.3</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Bàn giao bán hoàn thiện</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w:t>
            </w:r>
          </w:p>
        </w:tc>
        <w:tc>
          <w:tcPr>
            <w:gridSpan w:val="1"/>
            <w:tcBorders>
              <w:top w:val="single" w:color="CCCCCC" w:sz="6"/>
              <w:left w:val="single" w:color="CCCCCC" w:sz="6"/>
              <w:bottom w:val="single" w:color="CCCCCC" w:sz="6"/>
              <w:right w:val="single" w:color="CCCCCC" w:sz="6"/>
            </w:tcBorders>
            <w:tcMar>
              <w:top w:type="dxa" w:w="80"/>
              <w:left w:type="dxa" w:w="36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Tháp NOXH T3–T25 (27.014 m² GFA)</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27.014 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9,5</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256.6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Bàn giao cơ bản theo chuẩn NOXH</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5</w:t>
            </w:r>
          </w:p>
        </w:tc>
        <w:tc>
          <w:tcPr>
            <w:gridSpan w:val="1"/>
            <w:tcBorders>
              <w:top w:val="single" w:color="CCCCCC" w:sz="6"/>
              <w:left w:val="single" w:color="CCCCCC" w:sz="6"/>
              <w:bottom w:val="single" w:color="CCCCCC" w:sz="6"/>
              <w:right w:val="single" w:color="CCCCCC" w:sz="6"/>
            </w:tcBorders>
            <w:shd w:fill="F4F4F4" w:val="clear"/>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TUM + Cảnh quan + Hạ tầng ngoài nhà</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Trọn gói</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42.7</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MEP, PCCC ngoài nhà, sân đường, cây xanh</w:t>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III</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CHI PHÍ THIẾT BỊ (10% XD)</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79.2</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F4F4F4" w:val="clear"/>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Thang máy, điện, nước, PCCC trong nhà, BMS</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10% XD</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79.2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IV</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QLDA &amp; TƯ VẤN (4,5% XD+TB)</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39.2</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F4F4F4" w:val="clear"/>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Thiết kế, giám sát, thẩm tra, thẩm định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39.2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r>
      <w:tr>
        <w:tc>
          <w:tcPr>
            <w:gridSpan w:val="1"/>
            <w:tcBorders>
              <w:top w:val="single" w:color="CCCCCC" w:sz="6"/>
              <w:left w:val="single" w:color="CCCCCC" w:sz="6"/>
              <w:bottom w:val="single" w:color="CCCCCC" w:sz="6"/>
              <w:right w:val="single" w:color="CCCCCC"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V</w:t>
            </w:r>
          </w:p>
        </w:tc>
        <w:tc>
          <w:tcPr>
            <w:gridSpan w:val="4"/>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CHI PHÍ KHÁC &amp; LÃI VAY</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37.7</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F4F4F4" w:val="clear"/>
            <w:tcMar>
              <w:top w:type="dxa" w:w="80"/>
              <w:left w:type="dxa" w:w="36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Marketing, mở bán, bảo lãnh ngân hàng, bảo hiểm</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Ước tính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37.7</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r>
      <w:tr>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TỔNG MỨC ĐẦU TƯ (không M&amp;A)</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FFFFFF"/>
                <w:sz w:val="24"/>
                <w:szCs w:val="24"/>
              </w:rPr>
              <w:t xml:space="preserve">1133.3</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FFFFFF"/>
                <w:sz w:val="20"/>
                <w:szCs w:val="20"/>
              </w:rPr>
              <w:t xml:space="preserve"/>
            </w:r>
          </w:p>
        </w:tc>
      </w:tr>
    </w:tbl>
    <w:p>
      <w:pPr>
        <w:spacing w:after="0" w:before="0"/>
      </w:pPr>
      <w:r>
        <w:t xml:space="preserve"/>
      </w:r>
    </w:p>
    <w:p>
      <w:pPr>
        <w:pBdr>
          <w:left w:val="single" w:color="7B4F00" w:sz="18"/>
        </w:pBdr>
        <w:spacing w:after="80" w:before="80"/>
        <w:ind w:left="360"/>
      </w:pPr>
      <w:r>
        <w:rPr>
          <w:rFonts w:ascii="Times New Roman" w:cs="Times New Roman" w:eastAsia="Times New Roman" w:hAnsi="Times New Roman"/>
          <w:i/>
          <w:iCs/>
          <w:color w:val="7B4F00"/>
          <w:sz w:val="20"/>
          <w:szCs w:val="20"/>
        </w:rPr>
        <w:t xml:space="preserve">Tiền sử dụng đất phần TM (185 tỷ) được hạch toán riêng theo Luật Đất đai 2024 (phương pháp thặng dư). Phần NOXH được miễn hoàn toàn theo Luật Nhà ở 2023 Điều 82. M&amp;A 120 tỷ không được tính vào TMDT theo yêu cầu.</w:t>
      </w:r>
    </w:p>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4.2 Cơ cấu vốn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800"/>
        <w:gridCol w:w="31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Nguồn vốn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Tỷ lệ</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Giá trị (tỷ)</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Thời điểm huy động</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Vốn tự có chủ đầu tư</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30%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339,6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Tiền SDĐ, giai đoạn khởi công</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Vốn vay ngân hàng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50%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566,0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Thế chấp đất + tài sản hình thành tương lai</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Tiền cọc khách mua (đợt 1+2)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20%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226,4</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Theo Luật KDBĐS 2023 (max 30% GTCH)</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TỔNG</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100%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1133.3</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r>
    </w:tbl>
    <w:p>
      <w:r>
        <w:br w:type="page"/>
      </w:r>
    </w:p>
    <w:p>
      <w:pPr>
        <w:pStyle w:val="Heading1"/>
        <w:spacing w:after="120" w:before="280"/>
      </w:pPr>
      <w:r>
        <w:rPr>
          <w:rFonts w:ascii="Times New Roman" w:cs="Times New Roman" w:eastAsia="Times New Roman" w:hAnsi="Times New Roman"/>
          <w:b/>
          <w:bCs/>
          <w:caps/>
          <w:color w:val="1A4E8A"/>
          <w:sz w:val="28"/>
          <w:szCs w:val="28"/>
        </w:rPr>
        <w:t xml:space="preserve">V. PHÂN TÍCH THỊ TRƯỜNG VÀ GIÁ BÁN</w:t>
      </w:r>
    </w:p>
    <w:p>
      <w:pPr>
        <w:pStyle w:val="Heading2"/>
        <w:spacing w:after="80" w:before="200"/>
      </w:pPr>
      <w:r>
        <w:rPr>
          <w:rFonts w:ascii="Times New Roman" w:cs="Times New Roman" w:eastAsia="Times New Roman" w:hAnsi="Times New Roman"/>
          <w:b/>
          <w:bCs/>
          <w:color w:val="1A4E8A"/>
          <w:sz w:val="24"/>
          <w:szCs w:val="24"/>
        </w:rPr>
        <w:t xml:space="preserve">5.1 Cung – cầu thị trường</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Cầu rất lớn: 150.000+ lao động tại KCN Yên Bình – Điềm Thụy; hàng chục nghìn chuyên gia Hàn Quốc, Đài Loan, người Việt cấp cao với nhu cầu nhà ở tiêu chuẩn cao chưa được đáp ứng tại Phổ Yên.</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Cung thiếu hụt nghiêm trọng: Thị trường chủ yếu đất nền và shophouse thấp tầng. Không có chung cư cao tầng đủ tiêu chuẩn quốc tế.</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Rental Yield hấp dẫn: Giá thuê căn 2PN đủ tiêu chuẩn chuyên gia Hàn Quốc đạt 10–14 triệu/tháng, Rental Yield 8–10%/năm.</w:t>
      </w:r>
    </w:p>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5.2 Bảng giá bán đề xuất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900"/>
        <w:gridCol w:w="12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Phân khúc</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Loại căn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NSA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Đơn giá (tr/m²)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Tổng giá/căn (tỷ)</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4E8A"/>
                <w:sz w:val="20"/>
                <w:szCs w:val="20"/>
              </w:rPr>
              <w:t xml:space="preserve">Tháp TM – Giá trần</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C1: 120 m², căn góc/tầng cao</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~110 NSA</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30,0–32,0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3,3–3,5</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TM – Giá TB</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C2 100m², C3 80m²</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72–92 NSA</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28,0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2,0–2,6</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Tháp TM – Giá sàn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C3 tầng thấp (T3–T7)</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72 NSA</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25,0–26,0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1,8–1,9</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6B3C"/>
                <w:sz w:val="20"/>
                <w:szCs w:val="20"/>
              </w:rPr>
              <w:t xml:space="preserve">Tháp NOXH</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C4 60m², C5 45m², C6 30m²</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28–57 NSA</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20,0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0,6–1,1</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Shophouse T1+T2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TMDV, mặt đường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30–80 NSA</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40,0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1,2–3,2</w:t>
            </w:r>
          </w:p>
        </w:tc>
      </w:tr>
    </w:tbl>
    <w:p>
      <w:pPr>
        <w:spacing w:after="0" w:before="0"/>
      </w:pPr>
      <w:r>
        <w:t xml:space="preserve"/>
      </w:r>
    </w:p>
    <w:p>
      <w:pPr>
        <w:pBdr>
          <w:left w:val="single" w:color="7B4F00" w:sz="18"/>
        </w:pBdr>
        <w:spacing w:after="80" w:before="80"/>
        <w:ind w:left="360"/>
      </w:pPr>
      <w:r>
        <w:rPr>
          <w:rFonts w:ascii="Times New Roman" w:cs="Times New Roman" w:eastAsia="Times New Roman" w:hAnsi="Times New Roman"/>
          <w:i/>
          <w:iCs/>
          <w:color w:val="7B4F00"/>
          <w:sz w:val="20"/>
          <w:szCs w:val="20"/>
        </w:rPr>
        <w:t xml:space="preserve">Giá NOXH 20 tr/m² cần được Sở Xây dựng Thái Nguyên phê duyệt theo phương pháp chi phí + max 10% lợi nhuận (Nghị định 100/2015 sửa đổi). Chuẩn bị hồ sơ chi phí chi tiết để trình phê duyệt sớm.</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VI. PHÂN TÍCH HIỆU QUẢ ĐẦU TƯ (FEASIBILITY STUDY)</w:t>
      </w:r>
    </w:p>
    <w:p>
      <w:pPr>
        <w:pStyle w:val="Heading2"/>
        <w:spacing w:after="80" w:before="200"/>
      </w:pPr>
      <w:r>
        <w:rPr>
          <w:rFonts w:ascii="Times New Roman" w:cs="Times New Roman" w:eastAsia="Times New Roman" w:hAnsi="Times New Roman"/>
          <w:b/>
          <w:bCs/>
          <w:color w:val="1A4E8A"/>
          <w:sz w:val="24"/>
          <w:szCs w:val="24"/>
        </w:rPr>
        <w:t xml:space="preserve">6.1 Dự toán tổng doanh thu</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1400"/>
        <w:gridCol w:w="1500"/>
        <w:gridCol w:w="21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Hạng mục</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NSA (m²)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Số căn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Đơn giá
(tr/m²)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Thành tiền
(tỷ VNĐ)</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Ghi chú</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1. Tháp TM (C1+C2+C3)</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21.884</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276</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28,0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612.8</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avg. NSA 79 m²/căn</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2. Tháp NOXH (C4+C5+C6)</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21.034</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414</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20,0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420.7</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avg. NSA 51 m²/căn</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 Shophouse T1+T2 (TMDV)</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3.813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~47 lô</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40,0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152.5</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NSA = 75% GFA 5.084</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 Phí dịch vụ &amp; đỗ xe (3%)</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35.6</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Phí quản lý, đỗ xe hầm</w:t>
            </w:r>
          </w:p>
        </w:tc>
      </w:tr>
      <w:tr>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TỔNG DOANH THU (chưa VAT)</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690 căn</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FFFFFF"/>
                <w:sz w:val="26"/>
                <w:szCs w:val="26"/>
              </w:rPr>
              <w:t xml:space="preserve">1221.6</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6.2 Bảng kết quả tài chính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00"/>
        <w:gridCol w:w="24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Chỉ số tài chính</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Trước ưu đãi</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Sau ưu đãi
NOXH (+60 tỷ)</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Đánh giá</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doanh thu</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1221.6 tỷ</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1221.6 tỷ</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Không thay đổi</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Tổng mức đầu tư (không M&amp;A)</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1133.3 tỷ</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1073.3 tỷ*</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*Sau khi trừ 60 tỷ ưu đãi</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Lợi nhuận gộp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88.3 tỷ</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148.3 tỷ</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DT – TMDT (± ưu đãi)</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Tỷ suất LN/DT (ROS)</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7.2%</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12.1%</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Mức an toàn cho BĐS tỉnh</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Tỷ suất LN/Vốn (ROI)</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13.1%</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Cao hơn lãi suất vay NH ~3–5 điểm %</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Điểm hòa vốn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87.9% giỏ hàng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82.9% giỏ hàng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~607 / 690 căn</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Thời gian hoàn vốn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~32 tháng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~30 tháng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Từ khởi công → thu 95% DT</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Giá vốn bình quân (TMDT/NSA)</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0 ... </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~24 tr/m² NSA</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NSA tổng = 46.731 m²</w:t>
            </w:r>
          </w:p>
        </w:tc>
      </w:tr>
    </w:tbl>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6.3 Phân tích doanh thu theo tháp</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00"/>
        <w:gridCol w:w="49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Thành phần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DT (tỷ)</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 tổng DT</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Lợi nhuận đóng góp</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Tháp TM (28 tr/m²)</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612.8</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50.2%</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Cần TM để bù chi phí tiền SDĐ 185 tỷ</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Tháp NOXH (20 tr/m²)</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420.7</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34.4%</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Biên lợi nhuận thấp; bù bằng ưu đãi 60 tỷ</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Shophouse T1+T2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152.5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12.5%</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Đơn giá cao nhất dự án (40 tr/m²)</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DV phụ</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35.6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2.9%</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Thu định kỳ sau bàn giao</w:t>
            </w:r>
          </w:p>
        </w:tc>
      </w:tr>
      <w:tr>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TỔNG</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1221.6</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100%</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
            </w:r>
          </w:p>
        </w:tc>
      </w:tr>
    </w:tbl>
    <w:p>
      <w:r>
        <w:br w:type="page"/>
      </w:r>
    </w:p>
    <w:p>
      <w:pPr>
        <w:pStyle w:val="Heading1"/>
        <w:spacing w:after="120" w:before="280"/>
      </w:pPr>
      <w:r>
        <w:rPr>
          <w:rFonts w:ascii="Times New Roman" w:cs="Times New Roman" w:eastAsia="Times New Roman" w:hAnsi="Times New Roman"/>
          <w:b/>
          <w:bCs/>
          <w:caps/>
          <w:color w:val="1A4E8A"/>
          <w:sz w:val="28"/>
          <w:szCs w:val="28"/>
        </w:rPr>
        <w:t xml:space="preserve">VII. ƯU ĐÃI NHÀ Ở XÃ HỘI (+60 TỶ)</w:t>
      </w:r>
    </w:p>
    <w:p>
      <w:pPr>
        <w:spacing w:after="60" w:before="60"/>
        <w:jc w:val="both"/>
      </w:pPr>
      <w:r>
        <w:rPr>
          <w:rFonts w:ascii="Times New Roman" w:cs="Times New Roman" w:eastAsia="Times New Roman" w:hAnsi="Times New Roman"/>
          <w:b w:val="false"/>
          <w:bCs w:val="false"/>
          <w:i w:val="false"/>
          <w:iCs w:val="false"/>
          <w:color w:val="1A1A1A"/>
          <w:sz w:val="22"/>
          <w:szCs w:val="22"/>
        </w:rPr>
        <w:t xml:space="preserve">Theo Luật Nhà ở 2023 và các Nghị định hướng dẫn, dự án có thành phần NOXH được hưởng các ưu đãi: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0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Loại ưu đãi</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Nội dung</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Ước tính (tỷ)</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1. Miễn tiền sử dụng đất</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Miễn toàn bộ tiền SDĐ đối với diện tích Tháp NOXH (414 căn, ~21.030 m² NSA)</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~60</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 Ưu đãi thuế TNDN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Thuế suất 10% (thay vì 20%) cho phần lợi nhuận từ NOXH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~12–18</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 Vay vốn ưu đãi</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Lãi suất 3–5%/năm từ Ngân hàng CSXH hoặc ngân hàng chỉ định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~15–20</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 VAT 5%</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Khách mua NOXH chịu VAT 5% thay vì 8–10% — tăng sức cạnh tranh giá</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~10 (DT tăng)</w:t>
            </w:r>
          </w:p>
        </w:tc>
      </w:tr>
      <w:tr>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Tổng ưu đãi trực tiếp (thận trọng)</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FFFFFF"/>
                <w:sz w:val="20"/>
                <w:szCs w:val="20"/>
              </w:rPr>
              <w:t xml:space="preserve">Chủ yếu từ miễn tiền SDĐ. Báo cáo này chỉ tính khoản miễn SDĐ.</w:t>
            </w:r>
          </w:p>
        </w:tc>
        <w:tc>
          <w:tcPr>
            <w:gridSpan w:val="1"/>
            <w:tcBorders>
              <w:top w:val="single" w:color="CCCCCC" w:sz="6"/>
              <w:left w:val="single" w:color="CCCCCC" w:sz="6"/>
              <w:bottom w:val="single" w:color="CCCCCC" w:sz="6"/>
              <w:right w:val="single" w:color="CCCCCC" w:sz="6"/>
            </w:tcBorders>
            <w:shd w:fill="1A6B3C"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FFFFFF"/>
                <w:sz w:val="24"/>
                <w:szCs w:val="24"/>
              </w:rPr>
              <w:t xml:space="preserve">60</w:t>
            </w:r>
          </w:p>
        </w:tc>
      </w:tr>
    </w:tbl>
    <w:p>
      <w:pPr>
        <w:spacing w:after="0" w:before="0"/>
      </w:pPr>
      <w:r>
        <w:t xml:space="preserve"/>
      </w:r>
    </w:p>
    <w:p>
      <w:pPr>
        <w:pBdr>
          <w:left w:val="single" w:color="1A6B3C" w:sz="18"/>
        </w:pBdr>
        <w:spacing w:after="80" w:before="80"/>
        <w:ind w:left="360"/>
      </w:pPr>
      <w:r>
        <w:rPr>
          <w:rFonts w:ascii="Times New Roman" w:cs="Times New Roman" w:eastAsia="Times New Roman" w:hAnsi="Times New Roman"/>
          <w:i/>
          <w:iCs/>
          <w:color w:val="1A6B3C"/>
          <w:sz w:val="20"/>
          <w:szCs w:val="20"/>
        </w:rPr>
        <w:t xml:space="preserve">Để hưởng ưu đãi: (1) Đáp ứng tỷ lệ 20% đất ở dành cho NOXH – Dự án đạt ✓ (2) Giá bán được Sở XD phê duyệt (3) Bán đúng đối tượng ưu tiên theo danh sách UBND phường / KCN.</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VIII. PHÂN TÍCH RỦI RO VÀ ĐỘ NHẠY</w:t>
      </w:r>
    </w:p>
    <w:p>
      <w:pPr>
        <w:pStyle w:val="Heading2"/>
        <w:spacing w:after="80" w:before="200"/>
      </w:pPr>
      <w:r>
        <w:rPr>
          <w:rFonts w:ascii="Times New Roman" w:cs="Times New Roman" w:eastAsia="Times New Roman" w:hAnsi="Times New Roman"/>
          <w:b/>
          <w:bCs/>
          <w:color w:val="1A4E8A"/>
          <w:sz w:val="24"/>
          <w:szCs w:val="24"/>
        </w:rPr>
        <w:t xml:space="preserve">8.1 Phân tích độ nhạy theo kịch bản giá</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300"/>
        <w:gridCol w:w="1500"/>
        <w:gridCol w:w="1500"/>
        <w:gridCol w:w="11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Kịch bản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Giá TM
(tr/m²)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Giá NOXH
(tr/m²)</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Tổng DT
(tỷ)</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LN trước UĐ
(tỷ)</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LN sau UĐ
(tỷ)</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ROS</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Xấu: giá TM giảm 5%, NOXH giảm 5%</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26,6</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19,0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1.160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6B3C"/>
                <w:sz w:val="20"/>
                <w:szCs w:val="20"/>
              </w:rPr>
              <w:t xml:space="preserve">28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88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7,6%</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Cơ sở (Baseline)</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28,0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20,0</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1A1A"/>
                <w:sz w:val="20"/>
                <w:szCs w:val="20"/>
              </w:rPr>
              <w:t xml:space="preserve">1221.6</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88.3</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148.3</w:t>
            </w:r>
          </w:p>
        </w:tc>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12.1%</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Tốt: giá TM 30, NOXH 21</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30,0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21,0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1.265</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133</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193</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15,3%</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Rất tốt: TM 32, NOXH 22 + UĐ</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32,0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22,0</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1.307</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175</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235</w:t>
            </w:r>
          </w:p>
        </w:tc>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18,0%</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Xấu nhất: TM 26, CP XD +10%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26,0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19,0</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1.108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7B1A1A"/>
                <w:sz w:val="20"/>
                <w:szCs w:val="20"/>
              </w:rPr>
              <w:t xml:space="preserve">-103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7B1A1A"/>
                <w:sz w:val="20"/>
                <w:szCs w:val="20"/>
              </w:rPr>
              <w:t xml:space="preserve">-43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7B1A1A"/>
                <w:sz w:val="20"/>
                <w:szCs w:val="20"/>
              </w:rPr>
              <w:t xml:space="preserve">-3,9%</w:t>
            </w:r>
          </w:p>
        </w:tc>
      </w:tr>
    </w:tbl>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8.2 Ma trận rủi ro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8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Rủi ro</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Mức độ</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Khả năng</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Biện pháp</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Giá NOXH 20 tr/m² không được Sở XD phê duyệt</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B1A1A"/>
                <w:sz w:val="20"/>
                <w:szCs w:val="20"/>
              </w:rPr>
              <w:t xml:space="preserve">Cao</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Trung bình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Làm việc sớm với Sở XD; chuẩn bị phương án backup 17 tr</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Chi phí XD tăng &gt;10%</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Trung bình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Trung bình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Ký hợp đồng EPC giá cố định; dự phòng thi công</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Tiến độ bán hàng chậm (&lt;70% sau 18 tháng)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Thấp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Thấp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Vị trí độc đáo + NOXH trong dự án cao cấp tăng sức hút</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FAR 11,6 vượt quy hoạch phân khu</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Trung bình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Thấp</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Kiểm tra QH phân khu 1/2000; hồ sơ đã có FAR 11,6</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Lãi suất vay tăng &gt;3 pp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Thấp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Thấp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Đàm phán lãi cố định 3 năm; tăng vốn tự có lên 35%</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Pháp lý kéo dài thêm 6+ tháng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Thấp</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Trung bình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Khởi động pháp lý song song thiết kế; tư vấn pháp lý BĐS chuyên sâu</w:t>
            </w:r>
          </w:p>
        </w:tc>
      </w:tr>
    </w:tbl>
    <w:p>
      <w:r>
        <w:br w:type="page"/>
      </w:r>
    </w:p>
    <w:p>
      <w:pPr>
        <w:pStyle w:val="Heading1"/>
        <w:spacing w:after="120" w:before="280"/>
      </w:pPr>
      <w:r>
        <w:rPr>
          <w:rFonts w:ascii="Times New Roman" w:cs="Times New Roman" w:eastAsia="Times New Roman" w:hAnsi="Times New Roman"/>
          <w:b/>
          <w:bCs/>
          <w:caps/>
          <w:color w:val="1A4E8A"/>
          <w:sz w:val="28"/>
          <w:szCs w:val="28"/>
        </w:rPr>
        <w:t xml:space="preserve">IX. KẾ HOẠCH TRIỂN KHAI</w:t>
      </w:r>
    </w:p>
    <w:p>
      <w:pPr>
        <w:pStyle w:val="Heading2"/>
        <w:spacing w:after="80" w:before="200"/>
      </w:pPr>
      <w:r>
        <w:rPr>
          <w:rFonts w:ascii="Times New Roman" w:cs="Times New Roman" w:eastAsia="Times New Roman" w:hAnsi="Times New Roman"/>
          <w:b/>
          <w:bCs/>
          <w:color w:val="1A4E8A"/>
          <w:sz w:val="24"/>
          <w:szCs w:val="24"/>
        </w:rPr>
        <w:t xml:space="preserve">9.1 Tiến độ tổng thể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1700"/>
        <w:gridCol w:w="18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Giai đoạn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Nội dung</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Thời gian</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Vốn</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GĐ 0
Chuẩn bị</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Hoàn thiện hồ sơ pháp lý; Thiết kế kỹ thuật; Phê duyệt QH 1/500; Thẩm duyệt PCCC; Tính tiền SDĐ theo LĐĐ 2024; Đàm phán tín dụng NH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T1–T6 Năm 1</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185 tỷ
(tiền SDĐ)</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GĐ 1
Khởi công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Đấu thầu EPC; Thi công cọc móng hầm; Mở bán đợt 1 (30%); Hoàn thiện hồ sơ vay NH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T7–T12 Năm 1</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220 tỷ</w:t>
            </w:r>
          </w:p>
        </w:tc>
      </w:tr>
      <w:tr>
        <w:tc>
          <w:tcPr>
            <w:gridSpan w:val="1"/>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GĐ 2
XD chính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Phần thô toàn bộ (hầm+T1+T2+tháp); Mở bán đợt 2 (40%); Cất nóc 2 tháp</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T1–T12 Năm 2</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450 tỷ</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GĐ 3
Hoàn thiện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Hoàn thiện + MEP + PCCC; Nghiệm thu; Mở bán đợt 3 (30%); Bàn giao Shophouse T1</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T1–T6 Năm 3</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right"/>
            </w:pPr>
            <w:r>
              <w:rPr>
                <w:rFonts w:ascii="Times New Roman" w:cs="Times New Roman" w:eastAsia="Times New Roman" w:hAnsi="Times New Roman"/>
                <w:b w:val="false"/>
                <w:bCs w:val="false"/>
                <w:i w:val="false"/>
                <w:iCs w:val="false"/>
                <w:color w:val="1A1A1A"/>
                <w:sz w:val="20"/>
                <w:szCs w:val="20"/>
              </w:rPr>
              <w:t xml:space="preserve">277 tỷ</w:t>
            </w:r>
          </w:p>
        </w:tc>
      </w:tr>
      <w:tr>
        <w:tc>
          <w:tcPr>
            <w:gridSpan w:val="1"/>
            <w:tcBorders>
              <w:top w:val="single" w:color="CCCCCC" w:sz="6"/>
              <w:left w:val="single" w:color="CCCCCC" w:sz="6"/>
              <w:bottom w:val="single" w:color="CCCCCC" w:sz="6"/>
              <w:right w:val="single" w:color="CCCCCC" w:sz="6"/>
            </w:tcBorders>
            <w:shd w:fill="D4ED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1A1A"/>
                <w:sz w:val="20"/>
                <w:szCs w:val="20"/>
              </w:rPr>
              <w:t xml:space="preserve">GĐ 4
Bàn giao</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Nghiệm thu tổng thể; Bàn giao 690 căn; Thu 70% còn lại; Thành lập BQL; Vận hành thương mại</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1A1A1A"/>
                <w:sz w:val="20"/>
                <w:szCs w:val="20"/>
              </w:rPr>
              <w:t xml:space="preserve">T7–T12 Năm 3</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right"/>
            </w:pPr>
            <w:r>
              <w:rPr>
                <w:rFonts w:ascii="Times New Roman" w:cs="Times New Roman" w:eastAsia="Times New Roman" w:hAnsi="Times New Roman"/>
                <w:b/>
                <w:bCs/>
                <w:i w:val="false"/>
                <w:iCs w:val="false"/>
                <w:color w:val="1A6B3C"/>
                <w:sz w:val="20"/>
                <w:szCs w:val="20"/>
              </w:rPr>
              <w:t xml:space="preserve">Thu ~855 tỷ</w:t>
            </w:r>
          </w:p>
        </w:tc>
      </w:tr>
    </w:tbl>
    <w:p>
      <w:pPr>
        <w:spacing w:after="0" w:before="0"/>
      </w:pPr>
      <w:r>
        <w:t xml:space="preserve"/>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Dòng tiền thu theo Luật KDBĐS 2023: 30% khi ký HĐMB, 30% theo tiến độ, 40% khi bàn giao. Khách NOXH được vay ưu đãi NHCSXH giúp giải phóng dòng tiền sớm.</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Ngân hàng đồng hành: Đàm phán 2–3 ngân hàng cho hạn mức 566 tỷ, lãi suất mục tiêu ≤9%/năm, thế chấp đất + công trình hình thành tương lai.</w:t>
      </w:r>
    </w:p>
    <w:p>
      <w:r>
        <w:br w:type="page"/>
      </w:r>
    </w:p>
    <w:p>
      <w:pPr>
        <w:pStyle w:val="Heading1"/>
        <w:spacing w:after="120" w:before="280"/>
      </w:pPr>
      <w:r>
        <w:rPr>
          <w:rFonts w:ascii="Times New Roman" w:cs="Times New Roman" w:eastAsia="Times New Roman" w:hAnsi="Times New Roman"/>
          <w:b/>
          <w:bCs/>
          <w:caps/>
          <w:color w:val="1A4E8A"/>
          <w:sz w:val="28"/>
          <w:szCs w:val="28"/>
        </w:rPr>
        <w:t xml:space="preserve">X. KẾT LUẬN VÀ KIẾN NGHỊ</w:t>
      </w:r>
    </w:p>
    <w:p>
      <w:pPr>
        <w:pStyle w:val="Heading2"/>
        <w:spacing w:after="80" w:before="200"/>
      </w:pPr>
      <w:r>
        <w:rPr>
          <w:rFonts w:ascii="Times New Roman" w:cs="Times New Roman" w:eastAsia="Times New Roman" w:hAnsi="Times New Roman"/>
          <w:b/>
          <w:bCs/>
          <w:color w:val="1A4E8A"/>
          <w:sz w:val="24"/>
          <w:szCs w:val="24"/>
        </w:rPr>
        <w:t xml:space="preserve">10.1 Bảng tóm tắt đánh giá</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40"/>
      </w:tblGrid>
      <w:tr>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Tiêu chí</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Kết quả</w:t>
            </w:r>
          </w:p>
        </w:tc>
        <w:tc>
          <w:tcPr>
            <w:gridSpan w:val="1"/>
            <w:tcBorders>
              <w:top w:val="single" w:color="1A4E8A" w:sz="6"/>
              <w:left w:val="single" w:color="1A4E8A" w:sz="6"/>
              <w:bottom w:val="single" w:color="1A4E8A" w:sz="6"/>
              <w:right w:val="single" w:color="1A4E8A" w:sz="6"/>
            </w:tcBorders>
            <w:shd w:fill="1A4E8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0"/>
                <w:szCs w:val="20"/>
              </w:rPr>
              <w:t xml:space="preserve">Đánh giá</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Pháp lý quy hoạch</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Hồ sơ thiết kế sẵn có; chiều cao 90m &lt; 100m (không cần tầng lánh nạn)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Thuận lợi ✓</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Hạ tầng kỹ thuật</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Hầm đỗ xe 4.435 m²; đáp ứng QCVN 01:2021; Sky Garden trên mái T2</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Đạt ✓</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Tài chính — trước ưu đãi</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LN 88.3 tỷ; ROS 7.2%; ROI 7.8%</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Khả thi ✓</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Tài chính — sau ưu đãi NOXH</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A1A1A"/>
                <w:sz w:val="20"/>
                <w:szCs w:val="20"/>
              </w:rPr>
              <w:t xml:space="preserve">LN ≈ 148.3 tỷ; ROS 12.1%; ROI 13.1%</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Tốt ✓</w:t>
            </w:r>
          </w:p>
        </w:tc>
      </w:tr>
      <w:tr>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An toàn vốn</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Break-even 87.9% (~607/690 căn); Payback ~30 tháng</w:t>
            </w:r>
          </w:p>
        </w:tc>
        <w:tc>
          <w:tcPr>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An toàn ✓</w:t>
            </w:r>
          </w:p>
        </w:tc>
      </w:tr>
      <w:tr>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Thị trường</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Đại dương xanh; nhu cầu chuyên gia KCN rất lớn; tháp đôi đầu tiên tại Phổ Yên</w:t>
            </w:r>
          </w:p>
        </w:tc>
        <w:tc>
          <w:tcPr>
            <w:gridSpan w:val="1"/>
            <w:tcBorders>
              <w:top w:val="single" w:color="CCCCCC" w:sz="6"/>
              <w:left w:val="single" w:color="CCCCCC" w:sz="6"/>
              <w:bottom w:val="single" w:color="CCCCCC" w:sz="6"/>
              <w:right w:val="single" w:color="CCCCCC" w:sz="6"/>
            </w:tcBorders>
            <w:shd w:fill="F4F4F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A6B3C"/>
                <w:sz w:val="20"/>
                <w:szCs w:val="20"/>
              </w:rPr>
              <w:t xml:space="preserve">Rất tốt ✓</w:t>
            </w:r>
          </w:p>
        </w:tc>
      </w:tr>
    </w:tbl>
    <w:p>
      <w:pPr>
        <w:spacing w:after="0" w:before="0"/>
      </w:pPr>
      <w:r>
        <w:t xml:space="preserve"/>
      </w:r>
    </w:p>
    <w:p>
      <w:pPr>
        <w:pStyle w:val="Heading2"/>
        <w:spacing w:after="80" w:before="200"/>
      </w:pPr>
      <w:r>
        <w:rPr>
          <w:rFonts w:ascii="Times New Roman" w:cs="Times New Roman" w:eastAsia="Times New Roman" w:hAnsi="Times New Roman"/>
          <w:b/>
          <w:bCs/>
          <w:color w:val="1A4E8A"/>
          <w:sz w:val="24"/>
          <w:szCs w:val="24"/>
        </w:rPr>
        <w:t xml:space="preserve">10.2 Kiến nghị hành động ưu tiên</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Ưu tiên 1: Xác nhận ngay với Sở Xây dựng Thái Nguyên về phương án giá NOXH 20 tr/m² — đây là điều kiện tiên quyết.</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Ưu tiên 2: Đối chiếu Quy hoạch phân khu 1/2000 khu vực Phổ Yên — xác nhận FAR 11,6 được phép.</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Ưu tiên 3: Nộp hồ sơ xin Chấp thuận chủ trương đầu tư lên UBND tỉnh Thái Nguyên.</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Ưu tiên 4: Khởi động thiết kế kỹ thuật thi công song song với pháp lý.</w:t>
      </w:r>
    </w:p>
    <w:p>
      <w:pPr>
        <w:spacing w:after="40" w:before="40"/>
        <w:ind w:left="400" w:hanging="280"/>
      </w:pPr>
      <w:r>
        <w:rPr>
          <w:rFonts w:ascii="Times New Roman" w:cs="Times New Roman" w:eastAsia="Times New Roman" w:hAnsi="Times New Roman"/>
          <w:b/>
          <w:bCs/>
          <w:color w:val="1A4E8A"/>
          <w:sz w:val="22"/>
          <w:szCs w:val="22"/>
        </w:rPr>
        <w:t xml:space="preserve">•  </w:t>
      </w:r>
      <w:r>
        <w:rPr>
          <w:rFonts w:ascii="Times New Roman" w:cs="Times New Roman" w:eastAsia="Times New Roman" w:hAnsi="Times New Roman"/>
          <w:color w:val="1A1A1A"/>
          <w:sz w:val="22"/>
          <w:szCs w:val="22"/>
        </w:rPr>
        <w:t xml:space="preserve">Ưu tiên 5: Đàm phán sơ bộ với NH đối tác về tín dụng dự án và gói vay ưu đãi NOXH cho khách mua.</w:t>
      </w:r>
    </w:p>
    <w:p>
      <w:pPr>
        <w:spacing w:after="0" w:before="0"/>
      </w:pPr>
      <w:r>
        <w:t xml:space="preserve"/>
      </w:r>
    </w:p>
    <w:p>
      <w:pPr>
        <w:spacing w:after="0" w:before="0"/>
      </w:pPr>
      <w:r>
        <w:t xml:space="preserve"/>
      </w:r>
    </w:p>
    <w:p>
      <w:pPr>
        <w:pBdr>
          <w:left w:val="single" w:color="7B4F00" w:sz="18"/>
        </w:pBdr>
        <w:spacing w:after="80" w:before="80"/>
        <w:ind w:left="360"/>
      </w:pPr>
      <w:r>
        <w:rPr>
          <w:rFonts w:ascii="Times New Roman" w:cs="Times New Roman" w:eastAsia="Times New Roman" w:hAnsi="Times New Roman"/>
          <w:i/>
          <w:iCs/>
          <w:color w:val="7B4F00"/>
          <w:sz w:val="20"/>
          <w:szCs w:val="20"/>
        </w:rPr>
        <w:t xml:space="preserve">Ghi chú: Báo cáo sử dụng số liệu từ hồ sơ thiết kế tiền khả thi (GFA 70.497 m², 690 căn, FAR 11,6). M&amp;A 120 tỷ đã loại bỏ; thay bằng tiền SDĐ TM ~185 tỷ theo LĐĐ 2024. Mọi giá trị tài chính là ước tính cần cập nhật theo đơn giá XD Thái Nguyên tại thời điểm triển khai.</w:t>
      </w:r>
    </w:p>
    <w:p>
      <w:pPr>
        <w:spacing w:after="0" w:before="0"/>
      </w:pPr>
      <w:r>
        <w:t xml:space="preserve"/>
      </w:r>
    </w:p>
    <w:p>
      <w:pPr>
        <w:spacing w:after="0" w:before="0"/>
      </w:pPr>
      <w:r>
        <w:t xml:space="preserve"/>
      </w:r>
    </w:p>
    <w:p>
      <w:pPr>
        <w:spacing w:after="60" w:before="240"/>
        <w:jc w:val="right"/>
      </w:pPr>
      <w:r>
        <w:rPr>
          <w:rFonts w:ascii="Times New Roman" w:cs="Times New Roman" w:eastAsia="Times New Roman" w:hAnsi="Times New Roman"/>
          <w:b/>
          <w:bCs/>
          <w:i w:val="false"/>
          <w:iCs w:val="false"/>
          <w:color w:val="1A1A1A"/>
          <w:sz w:val="22"/>
          <w:szCs w:val="22"/>
        </w:rPr>
        <w:t xml:space="preserve">Người lập báo cáo</w:t>
      </w:r>
    </w:p>
    <w:p>
      <w:pPr>
        <w:spacing w:after="60" w:before="0"/>
        <w:jc w:val="right"/>
      </w:pPr>
      <w:r>
        <w:rPr>
          <w:rFonts w:ascii="Times New Roman" w:cs="Times New Roman" w:eastAsia="Times New Roman" w:hAnsi="Times New Roman"/>
          <w:b w:val="false"/>
          <w:bCs w:val="false"/>
          <w:i/>
          <w:iCs/>
          <w:color w:val="555555"/>
          <w:sz w:val="20"/>
          <w:szCs w:val="20"/>
        </w:rPr>
        <w:t xml:space="preserve">(Ký, ghi rõ họ tên)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E8A" w:sz="6"/>
      </w:pBdr>
      <w:spacing w:before="80"/>
      <w:jc w:val="right"/>
    </w:pPr>
    <w:r>
      <w:rPr>
        <w:rFonts w:ascii="Times New Roman" w:cs="Times New Roman" w:eastAsia="Times New Roman" w:hAnsi="Times New Roman"/>
        <w:color w:val="555555"/>
        <w:sz w:val="16"/>
        <w:szCs w:val="16"/>
      </w:rPr>
      <w:t xml:space="preserve">Trang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 </w:t>
    </w:r>
    <w:r>
      <w:rPr>
        <w:rFonts w:ascii="Times New Roman" w:cs="Times New Roman" w:eastAsia="Times New Roman" w:hAnsi="Times New Roman"/>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E8A" w:sz="6"/>
      </w:pBdr>
      <w:spacing w:after="80"/>
    </w:pPr>
    <w:r>
      <w:rPr>
        <w:rFonts w:ascii="Times New Roman" w:cs="Times New Roman" w:eastAsia="Times New Roman" w:hAnsi="Times New Roman"/>
        <w:color w:val="555555"/>
        <w:sz w:val="16"/>
        <w:szCs w:val="16"/>
      </w:rPr>
      <w:t xml:space="preserve">BÁO CÁO KHẢ THI ĐẦU TƯ  |  Dự án Chung cư Cao tầng TDP Hoàng Thanh, Phổ Yên, Thái Nguyên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A4E8A"/>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A4E8A"/>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2026-04-12T14:59:50.966Z</dcterms:created>
  <dcterms:modified xsi:type="dcterms:W3CDTF">2026-04-12T14:59:50.967Z</dcterms:modified>
</cp:coreProperties>
</file>

<file path=docProps/custom.xml><?xml version="1.0" encoding="utf-8"?>
<Properties xmlns="http://schemas.openxmlformats.org/officeDocument/2006/custom-properties" xmlns:vt="http://schemas.openxmlformats.org/officeDocument/2006/docPropsVTypes"/>
</file>