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BÁO CÁO RÀ SOÁT HỢP ĐỒNG</w:t>
      </w:r>
    </w:p>
    <w:p>
      <w:pPr>
        <w:spacing w:after="60"/>
        <w:jc w:val="center"/>
      </w:pPr>
      <w:r>
        <w:rPr>
          <w:rFonts w:ascii="Times New Roman" w:cs="Times New Roman" w:eastAsia="Times New Roman" w:hAnsi="Times New Roman"/>
          <w:b/>
          <w:bCs/>
          <w:sz w:val="26"/>
          <w:szCs w:val="26"/>
        </w:rPr>
        <w:t xml:space="preserve">Thi công cọc khoan nhồi và tường vây – Tòa NOTM CT1.1 – Dự án Yên Sở</w:t>
      </w:r>
    </w:p>
    <w:p>
      <w:pPr>
        <w:spacing w:after="200"/>
        <w:jc w:val="center"/>
      </w:pPr>
      <w:r>
        <w:rPr>
          <w:rFonts w:ascii="Times New Roman" w:cs="Times New Roman" w:eastAsia="Times New Roman" w:hAnsi="Times New Roman"/>
          <w:i/>
          <w:iCs/>
          <w:sz w:val="22"/>
          <w:szCs w:val="22"/>
        </w:rPr>
        <w:t xml:space="preserve">So sánh bản EC R1 (26.10.2026) và bản HQ view (26.10.2026) – Bên A: VNCN E&amp;C; Bên B: Hà Quỳnh</w:t>
      </w:r>
    </w:p>
    <w:p>
      <w:pPr>
        <w:pStyle w:val="Heading1"/>
        <w:spacing w:after="120" w:before="240"/>
      </w:pPr>
      <w:r>
        <w:rPr>
          <w:rFonts w:ascii="Times New Roman" w:cs="Times New Roman" w:eastAsia="Times New Roman" w:hAnsi="Times New Roman"/>
          <w:b/>
          <w:bCs/>
          <w:sz w:val="28"/>
          <w:szCs w:val="28"/>
        </w:rPr>
        <w:t xml:space="preserve">A. TÓM TẮT</w:t>
      </w:r>
    </w:p>
    <w:p>
      <w:pPr>
        <w:spacing w:after="80"/>
        <w:jc w:val="both"/>
      </w:pPr>
      <w:r>
        <w:rPr>
          <w:rFonts w:ascii="Times New Roman" w:cs="Times New Roman" w:eastAsia="Times New Roman" w:hAnsi="Times New Roman"/>
          <w:b/>
          <w:bCs/>
          <w:sz w:val="22"/>
          <w:szCs w:val="22"/>
        </w:rPr>
        <w:t xml:space="preserve">Phạm vi rà soát.</w:t>
      </w:r>
      <w:r>
        <w:rPr>
          <w:rFonts w:ascii="Times New Roman" w:cs="Times New Roman" w:eastAsia="Times New Roman" w:hAnsi="Times New Roman"/>
          <w:sz w:val="22"/>
          <w:szCs w:val="22"/>
        </w:rPr>
        <w:t xml:space="preserve"> So sánh từng đoạn giữa bản “DỰ THẢO … NOTM R1” của EC và bản “… NOTM – HC view” mà Hà Quỳnh gửi lại. Hai bản khác nhau ở </w:t>
      </w:r>
      <w:r>
        <w:rPr>
          <w:rFonts w:ascii="Times New Roman" w:cs="Times New Roman" w:eastAsia="Times New Roman" w:hAnsi="Times New Roman"/>
          <w:b/>
          <w:bCs/>
          <w:sz w:val="22"/>
          <w:szCs w:val="22"/>
        </w:rPr>
        <w:t xml:space="preserve">33 vị trí</w:t>
      </w:r>
      <w:r>
        <w:rPr>
          <w:rFonts w:ascii="Times New Roman" w:cs="Times New Roman" w:eastAsia="Times New Roman" w:hAnsi="Times New Roman"/>
          <w:sz w:val="22"/>
          <w:szCs w:val="22"/>
        </w:rPr>
        <w:t xml:space="preserve">, được gộp thành 23 nhóm tại Phần B. Bản EC R1 thể hiện sửa đổi bằng chữ gạch ngang; bản HQ view là bản sạch. Ngoài phần khác nhau, báo cáo rà soát cả các điều khoản </w:t>
      </w:r>
      <w:r>
        <w:rPr>
          <w:rFonts w:ascii="Times New Roman" w:cs="Times New Roman" w:eastAsia="Times New Roman" w:hAnsi="Times New Roman"/>
          <w:b/>
          <w:bCs/>
          <w:sz w:val="22"/>
          <w:szCs w:val="22"/>
        </w:rPr>
        <w:t xml:space="preserve">giống nhau ở hai bản nhưng bất lợi cho Bên A</w:t>
      </w:r>
      <w:r>
        <w:rPr>
          <w:rFonts w:ascii="Times New Roman" w:cs="Times New Roman" w:eastAsia="Times New Roman" w:hAnsi="Times New Roman"/>
          <w:sz w:val="22"/>
          <w:szCs w:val="22"/>
        </w:rPr>
        <w:t xml:space="preserve">: phần lớn các câu chữ có lợi cho B đã được đưa vào từ các vòng trước và đang nằm sẵn trong cả hai bản.</w:t>
      </w:r>
    </w:p>
    <w:p>
      <w:pPr>
        <w:spacing w:after="80"/>
        <w:jc w:val="both"/>
      </w:pPr>
      <w:r>
        <w:rPr>
          <w:rFonts w:ascii="Times New Roman" w:cs="Times New Roman" w:eastAsia="Times New Roman" w:hAnsi="Times New Roman"/>
          <w:b/>
          <w:bCs/>
          <w:sz w:val="22"/>
          <w:szCs w:val="22"/>
        </w:rPr>
        <w:t xml:space="preserve">Đánh giá chung.</w:t>
      </w:r>
      <w:r>
        <w:rPr>
          <w:rFonts w:ascii="Times New Roman" w:cs="Times New Roman" w:eastAsia="Times New Roman" w:hAnsi="Times New Roman"/>
          <w:sz w:val="22"/>
          <w:szCs w:val="22"/>
        </w:rPr>
        <w:t xml:space="preserve"> Bản HQ view có </w:t>
      </w:r>
      <w:r>
        <w:rPr>
          <w:rFonts w:ascii="Times New Roman" w:cs="Times New Roman" w:eastAsia="Times New Roman" w:hAnsi="Times New Roman"/>
          <w:b/>
          <w:bCs/>
          <w:sz w:val="22"/>
          <w:szCs w:val="22"/>
        </w:rPr>
        <w:t xml:space="preserve">8 điểm có lợi cho A hơn bản EC R1</w:t>
      </w:r>
      <w:r>
        <w:rPr>
          <w:rFonts w:ascii="Times New Roman" w:cs="Times New Roman" w:eastAsia="Times New Roman" w:hAnsi="Times New Roman"/>
          <w:sz w:val="22"/>
          <w:szCs w:val="22"/>
        </w:rPr>
        <w:t xml:space="preserve">, cần chốt ngay: tiến độ sửa đổi (7.2a); tạm ứng trong 15 ngày LV; ghi nhận huy động 50% khi đủ thiết bị cọc đại trà; phát sinh khẩn cấp (13.1c); thanh toán phát sinh trong 14 ngày; bảo lãnh tạm ứng hiệu lực thêm 10 ngày; lịch đặt vật tư 14/07 ngày; thép theo mô đun 15 ngày. Bù lại, HQ view có </w:t>
      </w:r>
      <w:r>
        <w:rPr>
          <w:rFonts w:ascii="Times New Roman" w:cs="Times New Roman" w:eastAsia="Times New Roman" w:hAnsi="Times New Roman"/>
          <w:b/>
          <w:bCs/>
          <w:sz w:val="22"/>
          <w:szCs w:val="22"/>
        </w:rPr>
        <w:t xml:space="preserve">4 điểm bất lợi nghiêm trọng</w:t>
      </w:r>
      <w:r>
        <w:rPr>
          <w:rFonts w:ascii="Times New Roman" w:cs="Times New Roman" w:eastAsia="Times New Roman" w:hAnsi="Times New Roman"/>
          <w:sz w:val="22"/>
          <w:szCs w:val="22"/>
        </w:rPr>
        <w:t xml:space="preserve">: bỏ “tường vây” khỏi định nghĩa Hạng mục công trình (1.18); giảm từ 02 xuống 01 dây chuyền tường vây; thu hẹp trách nhiệm chậm tiến độ (“được xác định”, “lỗi trực tiếp”); tăng hao hụt bê tông tường dẫn.</w:t>
      </w:r>
    </w:p>
    <w:p>
      <w:pPr>
        <w:spacing w:after="80"/>
        <w:jc w:val="both"/>
      </w:pPr>
      <w:r>
        <w:rPr>
          <w:rFonts w:ascii="Times New Roman" w:cs="Times New Roman" w:eastAsia="Times New Roman" w:hAnsi="Times New Roman"/>
          <w:b/>
          <w:bCs/>
          <w:sz w:val="22"/>
          <w:szCs w:val="22"/>
        </w:rPr>
        <w:t xml:space="preserve">Rủi ro lớn nhất nằm ở phần hai bản giống nhau.</w:t>
      </w:r>
      <w:r>
        <w:rPr>
          <w:rFonts w:ascii="Times New Roman" w:cs="Times New Roman" w:eastAsia="Times New Roman" w:hAnsi="Times New Roman"/>
          <w:sz w:val="22"/>
          <w:szCs w:val="22"/>
        </w:rPr>
        <w:t xml:space="preserve"> Đó là các điều khoản đã được nới cho B: quyền khấu trừ của A bị hạn chế (3.5, 4.3); có thể bị hiểu là không được vừa phạt vừa đòi bồi thường (đoạn mở đầu Điều 18); phạt chậm yếu và không định nghĩa (18.3); bỏ 13.3 trong khi 13.1a mở rộng phát sinh; A phải bồi thường “toàn bộ” chi phí chờ việc (7.3d); B được tạm dừng sau 7 ngày (17.1(ii)); A buộc phải quyết toán khi chưa nghiệm thu đầu cọc và tường vây (19.1e). Ngoài ra Biểu 01 có </w:t>
      </w:r>
      <w:r>
        <w:rPr>
          <w:rFonts w:ascii="Times New Roman" w:cs="Times New Roman" w:eastAsia="Times New Roman" w:hAnsi="Times New Roman"/>
          <w:b/>
          <w:bCs/>
          <w:sz w:val="22"/>
          <w:szCs w:val="22"/>
        </w:rPr>
        <w:t xml:space="preserve">lỗi số học</w:t>
      </w:r>
      <w:r>
        <w:rPr>
          <w:rFonts w:ascii="Times New Roman" w:cs="Times New Roman" w:eastAsia="Times New Roman" w:hAnsi="Times New Roman"/>
          <w:sz w:val="22"/>
          <w:szCs w:val="22"/>
        </w:rPr>
        <w:t xml:space="preserve"> và tiến độ tổng </w:t>
      </w:r>
      <w:r>
        <w:rPr>
          <w:rFonts w:ascii="Times New Roman" w:cs="Times New Roman" w:eastAsia="Times New Roman" w:hAnsi="Times New Roman"/>
          <w:b/>
          <w:bCs/>
          <w:sz w:val="22"/>
          <w:szCs w:val="22"/>
        </w:rPr>
        <w:t xml:space="preserve">chưa được điền</w:t>
      </w:r>
      <w:r>
        <w:rPr>
          <w:rFonts w:ascii="Times New Roman" w:cs="Times New Roman" w:eastAsia="Times New Roman" w:hAnsi="Times New Roman"/>
          <w:sz w:val="22"/>
          <w:szCs w:val="22"/>
        </w:rPr>
        <w:t xml:space="preserve">.</w:t>
      </w:r>
    </w:p>
    <w:p>
      <w:pPr>
        <w:spacing w:after="80"/>
        <w:jc w:val="both"/>
      </w:pPr>
      <w:r>
        <w:rPr>
          <w:rFonts w:ascii="Times New Roman" w:cs="Times New Roman" w:eastAsia="Times New Roman" w:hAnsi="Times New Roman"/>
          <w:b/>
          <w:bCs/>
          <w:sz w:val="22"/>
          <w:szCs w:val="22"/>
        </w:rPr>
        <w:t xml:space="preserve">10 việc cần làm trước khi ký:</w:t>
      </w:r>
    </w:p>
    <w:p>
      <w:pPr>
        <w:pStyle w:val="ListParagraph"/>
        <w:numPr>
          <w:ilvl w:val="0"/>
          <w:numId w:val="2"/>
        </w:numPr>
        <w:spacing w:after="50"/>
      </w:pPr>
      <w:r>
        <w:rPr>
          <w:rFonts w:ascii="Times New Roman" w:cs="Times New Roman" w:eastAsia="Times New Roman" w:hAnsi="Times New Roman"/>
          <w:sz w:val="22"/>
          <w:szCs w:val="22"/>
        </w:rPr>
        <w:t xml:space="preserve">Khôi phục “tường vây” và mở rộng định nghĩa 1.18; giữ nạo vét bùn ao trong gói 5.1.</w:t>
      </w:r>
    </w:p>
    <w:p>
      <w:pPr>
        <w:pStyle w:val="ListParagraph"/>
        <w:numPr>
          <w:ilvl w:val="0"/>
          <w:numId w:val="2"/>
        </w:numPr>
        <w:spacing w:after="50"/>
      </w:pPr>
      <w:r>
        <w:rPr>
          <w:rFonts w:ascii="Times New Roman" w:cs="Times New Roman" w:eastAsia="Times New Roman" w:hAnsi="Times New Roman"/>
          <w:sz w:val="22"/>
          <w:szCs w:val="22"/>
        </w:rPr>
        <w:t xml:space="preserve">Khôi phục 13.3 và thu hẹp 13.1a: biện pháp thi công là trách nhiệm của B, khối lượng tăng giảm tính theo đơn giá HĐ.</w:t>
      </w:r>
    </w:p>
    <w:p>
      <w:pPr>
        <w:pStyle w:val="ListParagraph"/>
        <w:numPr>
          <w:ilvl w:val="0"/>
          <w:numId w:val="2"/>
        </w:numPr>
        <w:spacing w:after="50"/>
      </w:pPr>
      <w:r>
        <w:rPr>
          <w:rFonts w:ascii="Times New Roman" w:cs="Times New Roman" w:eastAsia="Times New Roman" w:hAnsi="Times New Roman"/>
          <w:sz w:val="22"/>
          <w:szCs w:val="22"/>
        </w:rPr>
        <w:t xml:space="preserve">Sửa đoạn mở đầu Điều 18 và Điều 4.3: phạt không loại trừ bồi thường; B chịu các khoản CĐT phạt A do lỗi của B.</w:t>
      </w:r>
    </w:p>
    <w:p>
      <w:pPr>
        <w:pStyle w:val="ListParagraph"/>
        <w:numPr>
          <w:ilvl w:val="0"/>
          <w:numId w:val="2"/>
        </w:numPr>
        <w:spacing w:after="50"/>
      </w:pPr>
      <w:r>
        <w:rPr>
          <w:rFonts w:ascii="Times New Roman" w:cs="Times New Roman" w:eastAsia="Times New Roman" w:hAnsi="Times New Roman"/>
          <w:sz w:val="22"/>
          <w:szCs w:val="22"/>
        </w:rPr>
        <w:t xml:space="preserve">Định nghĩa lại 18.3: phạt theo mốc, có trần rõ ràng; điền tổng tiến độ và các mốc trung gian tại 7.2a.</w:t>
      </w:r>
    </w:p>
    <w:p>
      <w:pPr>
        <w:pStyle w:val="ListParagraph"/>
        <w:numPr>
          <w:ilvl w:val="0"/>
          <w:numId w:val="2"/>
        </w:numPr>
        <w:spacing w:after="50"/>
      </w:pPr>
      <w:r>
        <w:rPr>
          <w:rFonts w:ascii="Times New Roman" w:cs="Times New Roman" w:eastAsia="Times New Roman" w:hAnsi="Times New Roman"/>
          <w:sz w:val="22"/>
          <w:szCs w:val="22"/>
        </w:rPr>
        <w:t xml:space="preserve">Thêm cơ chế thông báo 07 ngày cho mọi yêu cầu gia hạn hoặc chi phí của B (7.3a, 15.1).</w:t>
      </w:r>
    </w:p>
    <w:p>
      <w:pPr>
        <w:pStyle w:val="ListParagraph"/>
        <w:numPr>
          <w:ilvl w:val="0"/>
          <w:numId w:val="2"/>
        </w:numPr>
        <w:spacing w:after="50"/>
      </w:pPr>
      <w:r>
        <w:rPr>
          <w:rFonts w:ascii="Times New Roman" w:cs="Times New Roman" w:eastAsia="Times New Roman" w:hAnsi="Times New Roman"/>
          <w:sz w:val="22"/>
          <w:szCs w:val="22"/>
        </w:rPr>
        <w:t xml:space="preserve">Giới hạn chi phí chờ việc 7.3d bằng thông báo, đơn giá và trần.</w:t>
      </w:r>
    </w:p>
    <w:p>
      <w:pPr>
        <w:pStyle w:val="ListParagraph"/>
        <w:numPr>
          <w:ilvl w:val="0"/>
          <w:numId w:val="2"/>
        </w:numPr>
        <w:spacing w:after="50"/>
      </w:pPr>
      <w:r>
        <w:rPr>
          <w:rFonts w:ascii="Times New Roman" w:cs="Times New Roman" w:eastAsia="Times New Roman" w:hAnsi="Times New Roman"/>
          <w:sz w:val="22"/>
          <w:szCs w:val="22"/>
        </w:rPr>
        <w:t xml:space="preserve">Sửa 19.1e: giữ lại 5% hoặc duy trì bảo lãnh cho đến khi nghiệm thu đầu cọc và tường vây.</w:t>
      </w:r>
    </w:p>
    <w:p>
      <w:pPr>
        <w:pStyle w:val="ListParagraph"/>
        <w:numPr>
          <w:ilvl w:val="0"/>
          <w:numId w:val="2"/>
        </w:numPr>
        <w:spacing w:after="50"/>
      </w:pPr>
      <w:r>
        <w:rPr>
          <w:rFonts w:ascii="Times New Roman" w:cs="Times New Roman" w:eastAsia="Times New Roman" w:hAnsi="Times New Roman"/>
          <w:sz w:val="22"/>
          <w:szCs w:val="22"/>
        </w:rPr>
        <w:t xml:space="preserve">Siết 17.1(ii) và 17.2c: điều kiện để B tạm dừng hoặc chấm dứt.</w:t>
      </w:r>
    </w:p>
    <w:p>
      <w:pPr>
        <w:pStyle w:val="ListParagraph"/>
        <w:numPr>
          <w:ilvl w:val="0"/>
          <w:numId w:val="2"/>
        </w:numPr>
        <w:spacing w:after="50"/>
      </w:pPr>
      <w:r>
        <w:rPr>
          <w:rFonts w:ascii="Times New Roman" w:cs="Times New Roman" w:eastAsia="Times New Roman" w:hAnsi="Times New Roman"/>
          <w:sz w:val="22"/>
          <w:szCs w:val="22"/>
        </w:rPr>
        <w:t xml:space="preserve">Giữ 02 dây chuyền tường vây (hoặc 01 dây chuyền kèm điều kiện tăng cường).</w:t>
      </w:r>
    </w:p>
    <w:p>
      <w:pPr>
        <w:pStyle w:val="ListParagraph"/>
        <w:numPr>
          <w:ilvl w:val="0"/>
          <w:numId w:val="2"/>
        </w:numPr>
        <w:spacing w:after="50"/>
      </w:pPr>
      <w:r>
        <w:rPr>
          <w:rFonts w:ascii="Times New Roman" w:cs="Times New Roman" w:eastAsia="Times New Roman" w:hAnsi="Times New Roman"/>
          <w:sz w:val="22"/>
          <w:szCs w:val="22"/>
        </w:rPr>
        <w:t xml:space="preserve">Sửa Biểu 01 (tổng tiền dư 9.504 đ; khối lượng mục 4 Bơm vữa) và đồng bộ tên dự án.</w:t>
      </w:r>
    </w:p>
    <w:p>
      <w:pPr>
        <w:pStyle w:val="Heading1"/>
        <w:spacing w:after="120" w:before="240"/>
      </w:pPr>
      <w:r>
        <w:rPr>
          <w:rFonts w:ascii="Times New Roman" w:cs="Times New Roman" w:eastAsia="Times New Roman" w:hAnsi="Times New Roman"/>
          <w:b/>
          <w:bCs/>
          <w:sz w:val="28"/>
          <w:szCs w:val="28"/>
        </w:rPr>
        <w:t xml:space="preserve">B. BẢNG SO SÁNH KHÁC BIỆT GIỮA HAI BẢN</w:t>
      </w:r>
    </w:p>
    <w:p>
      <w:pPr>
        <w:spacing w:after="80"/>
        <w:jc w:val="both"/>
      </w:pPr>
      <w:r>
        <w:rPr>
          <w:rFonts w:ascii="Times New Roman" w:cs="Times New Roman" w:eastAsia="Times New Roman" w:hAnsi="Times New Roman"/>
          <w:i/>
          <w:iCs/>
          <w:sz w:val="22"/>
          <w:szCs w:val="22"/>
        </w:rPr>
        <w:t xml:space="preserve">Chữ in đậm trong cột Đánh giá là điểm cần lưu ý. “Có lợi cho A” nghĩa là nên chốt ngay theo bản đó.</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450"/>
        <w:gridCol w:w="1650"/>
        <w:gridCol w:w="3000"/>
        <w:gridCol w:w="3000"/>
        <w:gridCol w:w="2600"/>
        <w:gridCol w:w="4438"/>
      </w:tblGrid>
      <w:tr>
        <w:trPr>
          <w:tblHeader/>
        </w:trPr>
        <w:tc>
          <w:tcPr>
            <w:tcW w:type="dxa" w:w="45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TT</w:t>
            </w:r>
          </w:p>
        </w:tc>
        <w:tc>
          <w:tcPr>
            <w:tcW w:type="dxa" w:w="165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Điều khoản</w:t>
            </w:r>
          </w:p>
        </w:tc>
        <w:tc>
          <w:tcPr>
            <w:tcW w:type="dxa" w:w="300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Bản EC R1 (26.10)</w:t>
            </w:r>
          </w:p>
        </w:tc>
        <w:tc>
          <w:tcPr>
            <w:tcW w:type="dxa" w:w="300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Bản HQ view (26.10)</w:t>
            </w:r>
          </w:p>
        </w:tc>
        <w:tc>
          <w:tcPr>
            <w:tcW w:type="dxa" w:w="260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Đánh giá</w:t>
            </w:r>
          </w:p>
        </w:tc>
        <w:tc>
          <w:tcPr>
            <w:tcW w:type="dxa" w:w="4438"/>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Đề xuất của Bên A</w:t>
            </w:r>
          </w:p>
        </w:tc>
      </w:tr>
      <w:tr>
        <w:tc>
          <w:tcPr>
            <w:tcW w:type="dxa" w:w="15138"/>
            <w:gridSpan w:val="6"/>
            <w:shd w:fill="F2F2F2"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A. Phần chung và định nghĩa</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Tên dự án (đầu HĐ, 1.8, 1.17)</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“(nhà ở xã hội cho cán bộ, chiến sỹ công an)”</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“(nhà ở thương mại)”. Riêng Điều 4.1 cả hai bản vẫn ghi “nhà ở xã hội”</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Trung tính; hai bản đều </w:t>
            </w:r>
            <w:r>
              <w:rPr>
                <w:rFonts w:ascii="Times New Roman" w:cs="Times New Roman" w:eastAsia="Times New Roman" w:hAnsi="Times New Roman"/>
                <w:b/>
                <w:bCs/>
                <w:sz w:val="20"/>
                <w:szCs w:val="20"/>
              </w:rPr>
              <w:t xml:space="preserve">không đồng bộ</w:t>
            </w:r>
            <w:r>
              <w:rPr>
                <w:rFonts w:ascii="Times New Roman" w:cs="Times New Roman" w:eastAsia="Times New Roman" w:hAnsi="Times New Roman"/>
                <w:b w:val="false"/>
                <w:bCs w:val="false"/>
                <w:sz w:val="20"/>
                <w:szCs w:val="20"/>
              </w:rPr>
              <w:t xml:space="preserve"> giữa phần đầu và Điều 4.1</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Thống nhất một cách gọi theo HĐ thầu chính với CĐT IFT: giữ tên pháp lý dự án và thêm “– Tòa nhà ở thương mại CT1.1”. Sửa đồng bộ cả đầu HĐ, 1.8, 1.17 và 4.1.</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2</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Ngày ký</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“ngày 06 tháng 7 năm 2026”</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Để trống</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HQ view đúng: ngày 06/7 sớm hơn cả hồ sơ chào giá và LOA</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Để trống, điền khi ký. Ngày ký không được sớm hơn ngày LOA.</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3</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1.18 Hạng mục công trình</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“Thi công Cọc khoan nhồi và Tường vây của tòa nhà ở thương mại CT1.1”</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“Thi công Cọc khoan nhồi.” (mất cả tường vây lẫn CT1.1)</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Bất lợi lớn cho A.</w:t>
            </w:r>
            <w:r>
              <w:rPr>
                <w:rFonts w:ascii="Times New Roman" w:cs="Times New Roman" w:eastAsia="Times New Roman" w:hAnsi="Times New Roman"/>
                <w:b w:val="false"/>
                <w:bCs w:val="false"/>
                <w:sz w:val="20"/>
                <w:szCs w:val="20"/>
              </w:rPr>
              <w:t xml:space="preserve"> “Hạng mục công trình” được dùng cho nghiệm thu (6.2), bảo hành (8.2), bảo lãnh (20.2) và quyết toán. Bỏ tường vây (29,6 tỷ) mở ra tranh cãi về bảo hành, bảo lãnh của phần tường vây.</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Không nhượng.</w:t>
            </w:r>
            <w:r>
              <w:rPr>
                <w:rFonts w:ascii="Times New Roman" w:cs="Times New Roman" w:eastAsia="Times New Roman" w:hAnsi="Times New Roman"/>
                <w:b w:val="false"/>
                <w:bCs w:val="false"/>
                <w:sz w:val="20"/>
                <w:szCs w:val="20"/>
              </w:rPr>
              <w:t xml:space="preserve"> Dùng bản EC và mở rộng thêm (câu chữ tại Phần D.1).</w:t>
            </w:r>
          </w:p>
        </w:tc>
      </w:tr>
      <w:tr>
        <w:tc>
          <w:tcPr>
            <w:tcW w:type="dxa" w:w="15138"/>
            <w:gridSpan w:val="6"/>
            <w:shd w:fill="F2F2F2"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B. Tiến độ và phạt</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4</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7.2a Tiến độ sửa đổi</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Không có</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Thêm: khi tiến độ thực tế không phù hợp, B trình tiến độ sửa đổi trong 07 ngày, giữ nguyên mốc hoàn thành và nêu giải pháp bù tiến độ</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Có lợi cho A</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Chấp nhận và chốt ngay vào biên bản.</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5</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7.3a Hậu quả chậm tiến độ</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“(do lỗi của bên B)”, kèm danh sách loại trừ rộng</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w:t>
            </w:r>
            <w:r>
              <w:rPr>
                <w:rFonts w:ascii="Times New Roman" w:cs="Times New Roman" w:eastAsia="Times New Roman" w:hAnsi="Times New Roman"/>
                <w:b/>
                <w:bCs/>
                <w:sz w:val="20"/>
                <w:szCs w:val="20"/>
              </w:rPr>
              <w:t xml:space="preserve">được xác định</w:t>
            </w:r>
            <w:r>
              <w:rPr>
                <w:rFonts w:ascii="Times New Roman" w:cs="Times New Roman" w:eastAsia="Times New Roman" w:hAnsi="Times New Roman"/>
                <w:b w:val="false"/>
                <w:bCs w:val="false"/>
                <w:sz w:val="20"/>
                <w:szCs w:val="20"/>
              </w:rPr>
              <w:t xml:space="preserve"> do lỗi của bên B)”, “lỗi </w:t>
            </w:r>
            <w:r>
              <w:rPr>
                <w:rFonts w:ascii="Times New Roman" w:cs="Times New Roman" w:eastAsia="Times New Roman" w:hAnsi="Times New Roman"/>
                <w:b/>
                <w:bCs/>
                <w:sz w:val="20"/>
                <w:szCs w:val="20"/>
              </w:rPr>
              <w:t xml:space="preserve">trực tiếp</w:t>
            </w:r>
            <w:r>
              <w:rPr>
                <w:rFonts w:ascii="Times New Roman" w:cs="Times New Roman" w:eastAsia="Times New Roman" w:hAnsi="Times New Roman"/>
                <w:b w:val="false"/>
                <w:bCs w:val="false"/>
                <w:sz w:val="20"/>
                <w:szCs w:val="20"/>
              </w:rPr>
              <w:t xml:space="preserve"> của Bên B”, danh sách loại trừ giữ nguyên</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Có lợi cho B. “Được xác định” không nói ai xác định. “Trực tiếp” thu hẹp trách nhiệm. Danh sách loại trừ có “nguyên nhân khách quan khác” và “điều kiện hiện trường khác thông tin” (mâu thuẫn 9.2, 12.2.9).</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Bỏ “được xác định” và “trực tiếp”. Chấp nhận nguyên tắc “do lỗi của B” nhưng kèm </w:t>
            </w:r>
            <w:r>
              <w:rPr>
                <w:rFonts w:ascii="Times New Roman" w:cs="Times New Roman" w:eastAsia="Times New Roman" w:hAnsi="Times New Roman"/>
                <w:b/>
                <w:bCs/>
                <w:sz w:val="20"/>
                <w:szCs w:val="20"/>
              </w:rPr>
              <w:t xml:space="preserve">cơ chế thông báo 07 ngày</w:t>
            </w:r>
            <w:r>
              <w:rPr>
                <w:rFonts w:ascii="Times New Roman" w:cs="Times New Roman" w:eastAsia="Times New Roman" w:hAnsi="Times New Roman"/>
                <w:b w:val="false"/>
                <w:bCs w:val="false"/>
                <w:sz w:val="20"/>
                <w:szCs w:val="20"/>
              </w:rPr>
              <w:t xml:space="preserve"> (Phần D.6). Bỏ hai cụm loại trừ nêu trên.</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6</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18.3 Phạt chậm tiến độ</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Gạch bỏ mức 0,5%/ngày × giá trị HĐ. Thay bằng 1%/ngày × giá trị phần chậm, trần 10% phần chậm</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Giống bản thay thế của EC</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Cả hai bản đều yếu cho A: “phần nghĩa vụ bị chậm” không được định nghĩa, trần thấp so với rủi ro A bị CĐT phạt</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Xem Phần C.8 và câu chữ Phần D.4.</w:t>
            </w:r>
          </w:p>
        </w:tc>
      </w:tr>
      <w:tr>
        <w:tc>
          <w:tcPr>
            <w:tcW w:type="dxa" w:w="15138"/>
            <w:gridSpan w:val="6"/>
            <w:shd w:fill="F2F2F2"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C. Tạm ứng, thanh toán, khối lượng</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7</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10.3.1a Thời hạn tạm ứng</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Gạch 15 ngày LV, sửa thành 10 ngày LV</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15 ngày LV</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HQ view có lợi cho A</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Chốt 15 ngày LV.</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8</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10.3.2b Hồ sơ thanh toán hoàn thành</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Gạch cụm “cho công tác cọc khoan nhồi”; “được Bên A duyệt”</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Bỏ cụm trên; “được Bên A ký duyệt”</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Trung tính. Cả hai đã bỏ chữ ký TVGS so với bản gốc.</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Chấp nhận, nhưng bổ sung “có xác nhận của TVGS/Chủ đầu tư” và kết quả thí nghiệm tường vây (siêu âm, khoan lõi theo thiết kế).</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9</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10.3.2d Tường vây</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“cốt đỉnh … cos đáy”</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“cos đỉnh … cos đáy”</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Chính tả. Lưu ý: cả hai bản </w:t>
            </w:r>
            <w:r>
              <w:rPr>
                <w:rFonts w:ascii="Times New Roman" w:cs="Times New Roman" w:eastAsia="Times New Roman" w:hAnsi="Times New Roman"/>
                <w:b/>
                <w:bCs/>
                <w:sz w:val="20"/>
                <w:szCs w:val="20"/>
              </w:rPr>
              <w:t xml:space="preserve">đã bỏ</w:t>
            </w:r>
            <w:r>
              <w:rPr>
                <w:rFonts w:ascii="Times New Roman" w:cs="Times New Roman" w:eastAsia="Times New Roman" w:hAnsi="Times New Roman"/>
                <w:b w:val="false"/>
                <w:bCs w:val="false"/>
                <w:sz w:val="20"/>
                <w:szCs w:val="20"/>
              </w:rPr>
              <w:t xml:space="preserve"> cụm “(cos chạm sỏi + chiều sâu ngàm sỏi)” có ở bản trước</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Thống nhất dùng “cos”. Xem rủi ro C.14 về cách tính chiều sâu.</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10</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10.3.2d Mùn khoan</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“Khối lượng đất thải, mùn khoan”</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“Khối lượng vận chuyển đất, mùn khoan”</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Trung tính</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Dùng một thuật ngữ thống nhất với Biểu 01–03. Bổ sung: B nộp chứng từ đổ thải tại bãi hợp pháp làm điều kiện thanh toán.</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11</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10.3.2d Huy động 50%</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Ghi nhận 50% khi B huy động đủ thiết bị thi công </w:t>
            </w:r>
            <w:r>
              <w:rPr>
                <w:rFonts w:ascii="Times New Roman" w:cs="Times New Roman" w:eastAsia="Times New Roman" w:hAnsi="Times New Roman"/>
                <w:b/>
                <w:bCs/>
                <w:sz w:val="20"/>
                <w:szCs w:val="20"/>
              </w:rPr>
              <w:t xml:space="preserve">cọc thí nghiệm</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50% khi huy động đủ thiết bị thi công </w:t>
            </w:r>
            <w:r>
              <w:rPr>
                <w:rFonts w:ascii="Times New Roman" w:cs="Times New Roman" w:eastAsia="Times New Roman" w:hAnsi="Times New Roman"/>
                <w:b/>
                <w:bCs/>
                <w:sz w:val="20"/>
                <w:szCs w:val="20"/>
              </w:rPr>
              <w:t xml:space="preserve">cọc đại trà</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HQ view có lợi cho A</w:t>
            </w:r>
            <w:r>
              <w:rPr>
                <w:rFonts w:ascii="Times New Roman" w:cs="Times New Roman" w:eastAsia="Times New Roman" w:hAnsi="Times New Roman"/>
                <w:b w:val="false"/>
                <w:bCs w:val="false"/>
                <w:sz w:val="20"/>
                <w:szCs w:val="20"/>
              </w:rPr>
              <w:t xml:space="preserve"> (thanh toán muộn hơn, gắn với lần huy động chính)</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Chốt “cọc đại trà và dây chuyền tường vây”.</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12</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13.2b Thời hạn thanh toán phát sinh</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Gạch 14 ngày LV, sửa thành 10</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14 ngày LV</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HQ view có lợi cho A</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Chốt 14 ngày LV.</w:t>
            </w:r>
          </w:p>
        </w:tc>
      </w:tr>
      <w:tr>
        <w:tc>
          <w:tcPr>
            <w:tcW w:type="dxa" w:w="15138"/>
            <w:gridSpan w:val="6"/>
            <w:shd w:fill="F2F2F2"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D. Phát sinh, vật tư, điện</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13</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13.1c Phát sinh khẩn cấp</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Không có</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Thêm: B phải thực hiện ngay công việc phát sinh khẩn cấp theo yêu cầu công trường</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Có lợi cho A</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Chốt. Ghi rõ thanh toán theo đơn giá HĐ, hoặc đơn giá thỏa thuận sau theo 13.1d.</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14</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13.3 Thay đổi không phải phát sinh</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Gạch bỏ toàn bộ</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Xóa hẳn</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Rủi ro cao.</w:t>
            </w:r>
            <w:r>
              <w:rPr>
                <w:rFonts w:ascii="Times New Roman" w:cs="Times New Roman" w:eastAsia="Times New Roman" w:hAnsi="Times New Roman"/>
                <w:b w:val="false"/>
                <w:bCs w:val="false"/>
                <w:sz w:val="20"/>
                <w:szCs w:val="20"/>
              </w:rPr>
              <w:t xml:space="preserve"> Kết hợp với 13.1a (“mọi thay đổi … biện pháp, điều kiện thi công … đều xem xét điều chỉnh giá”), B có cơ sở đòi phát sinh cho cả thay đổi biện pháp của chính B</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Không nhượng.</w:t>
            </w:r>
            <w:r>
              <w:rPr>
                <w:rFonts w:ascii="Times New Roman" w:cs="Times New Roman" w:eastAsia="Times New Roman" w:hAnsi="Times New Roman"/>
                <w:b w:val="false"/>
                <w:bCs w:val="false"/>
                <w:sz w:val="20"/>
                <w:szCs w:val="20"/>
              </w:rPr>
              <w:t xml:space="preserve"> Khôi phục 13.3 (câu chữ Phần D.2) và sửa 13.1a (Phần C.4).</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15</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12.2d, 14.1 Đề nghị cấp vật tư</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Thép theo mô đun: 14 ngày. Từng đợt (thép, ống…): 08 ngày</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Thép theo mô đun: 15 ngày. Từng đợt: 07 ngày</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Thép 15 ngày có lợi A; từng đợt 08 ngày có lợi A</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Chốt thép mô đun 15 ngày, từng đợt 08 ngày (có thể nhượng xuống 07 ngày).</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16</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Biểu 03 Lịch đặt vật tư</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Gạch “trước 14 ngày → 07 ngày; đợt cuối 7 → 05 ngày”</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“Kế hoạch trước 14 ngày, riêng đợt cuối trước 07 ngày”</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HQ view có lợi cho A</w:t>
            </w:r>
            <w:r>
              <w:rPr>
                <w:rFonts w:ascii="Times New Roman" w:cs="Times New Roman" w:eastAsia="Times New Roman" w:hAnsi="Times New Roman"/>
                <w:b w:val="false"/>
                <w:bCs w:val="false"/>
                <w:sz w:val="20"/>
                <w:szCs w:val="20"/>
              </w:rPr>
              <w:t xml:space="preserve">. Bản EC R1 rút ngắn thời gian chuẩn bị của chính A.</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Chốt bản HQ. Đồng bộ một quy tắc chung cho 12.2d, 14.1 và Biểu 03 (Phần E).</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17</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Máy phát điện cọc thí nghiệm (12.2 và Biểu 03)</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Gạch bỏ nghĩa vụ B cấp máy phát khi điện của A không đủ công suất</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Xóa hẳn</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Cả hai bản bất lợi cho A: nếu điện chưa đủ, A phải lo máy phát, còn B được gia hạn và đòi chờ việc (7.3d, 15.1c)</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Nếu chắc chắn có điện đủ công suất khi thi công cọc TN thì có thể bỏ. Nếu chưa chắc: B vẫn cấp máy phát, A trả theo đơn giá ca máy thống nhất trước, không tính chờ việc.</w:t>
            </w:r>
          </w:p>
        </w:tc>
      </w:tr>
      <w:tr>
        <w:tc>
          <w:tcPr>
            <w:tcW w:type="dxa" w:w="15138"/>
            <w:gridSpan w:val="6"/>
            <w:shd w:fill="F2F2F2"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E. Biểu chi tiết</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18</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Biểu 03 Mặt bằng: nạo vét bùn ao</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Gạch “nạo vét bùn ao và chuyển đi”</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Xóa</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Rủi ro cao.</w:t>
            </w:r>
            <w:r>
              <w:rPr>
                <w:rFonts w:ascii="Times New Roman" w:cs="Times New Roman" w:eastAsia="Times New Roman" w:hAnsi="Times New Roman"/>
                <w:b w:val="false"/>
                <w:bCs w:val="false"/>
                <w:sz w:val="20"/>
                <w:szCs w:val="20"/>
              </w:rPr>
              <w:t xml:space="preserve"> Biểu 01 mục 5.1 (3,36 tỷ) vẫn ghi “San lấp ao…” nhưng không còn nghĩa vụ nạo vét bùn. A có thể phải tự làm hoặc trả thêm.</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Không nhượng.</w:t>
            </w:r>
            <w:r>
              <w:rPr>
                <w:rFonts w:ascii="Times New Roman" w:cs="Times New Roman" w:eastAsia="Times New Roman" w:hAnsi="Times New Roman"/>
                <w:b w:val="false"/>
                <w:bCs w:val="false"/>
                <w:sz w:val="20"/>
                <w:szCs w:val="20"/>
              </w:rPr>
              <w:t xml:space="preserve"> Ghi rõ nạo vét, vận chuyển bùn ao đã gồm trong gói 5.1. Nếu HQ không chịu thì phải tách khối lượng, đơn giá và giảm giá gói 5.1 tương ứng.</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19</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Biểu 03 Hàng rào</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Gạch chữ “Hàng rào”</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Xóa</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Mâu thuẫn với 12.2e và 12.2f (vẫn yêu cầu B làm hàng rào an toàn khu vực thi công)</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Ghi rõ: B làm rào chắn, hàng rào tạm quanh hố khoan và tường vây; A làm hàng rào chu vi công trường.</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20</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Biểu 03 Đổ thải</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Gạch chữ “mùn”</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“Thu gom, đổ thải đất mùn khoan”</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Trung tính</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Ghi “đất, mùn khoan, dung dịch bentonite thải”, kèm chứng từ bãi đổ.</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21</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Biểu 04 Dây chuyền tường vây</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02</w:t>
            </w:r>
            <w:r>
              <w:rPr>
                <w:rFonts w:ascii="Times New Roman" w:cs="Times New Roman" w:eastAsia="Times New Roman" w:hAnsi="Times New Roman"/>
                <w:b w:val="false"/>
                <w:bCs w:val="false"/>
                <w:sz w:val="20"/>
                <w:szCs w:val="20"/>
              </w:rPr>
              <w:t xml:space="preserve"> dây chuyền</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01</w:t>
            </w:r>
            <w:r>
              <w:rPr>
                <w:rFonts w:ascii="Times New Roman" w:cs="Times New Roman" w:eastAsia="Times New Roman" w:hAnsi="Times New Roman"/>
                <w:b w:val="false"/>
                <w:bCs w:val="false"/>
                <w:sz w:val="20"/>
                <w:szCs w:val="20"/>
              </w:rPr>
              <w:t xml:space="preserve"> dây chuyền</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Rủi ro tiến độ cao.</w:t>
            </w:r>
            <w:r>
              <w:rPr>
                <w:rFonts w:ascii="Times New Roman" w:cs="Times New Roman" w:eastAsia="Times New Roman" w:hAnsi="Times New Roman"/>
                <w:b w:val="false"/>
                <w:bCs w:val="false"/>
                <w:sz w:val="20"/>
                <w:szCs w:val="20"/>
              </w:rPr>
              <w:t xml:space="preserve"> Tường dẫn dài khoảng 278 m. Với năng suất 2,8 md/ngày cho một dây chuyền, riêng khoan tường vây mất khoảng 100 ngày (khoảng 50 ngày nếu có 2 dây chuyền).</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Ưu tiên 02 dây chuyền. Phương án lùi: 01 dây chuyền kèm cam kết năng suất, phải huy động dây chuyền thứ 2 trong 07 ngày nếu năng suất trung bình 05 ngày liên tiếp dưới 2,8 md/ngày, và có mốc tường vây chịu phạt.</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22</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Biểu 07 Hao hụt</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Bê tông tường vây 15%</w:t>
            </w:r>
          </w:p>
        </w:tc>
        <w:tc>
          <w:tcPr>
            <w:tcW w:type="dxa" w:w="3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Bê tông </w:t>
            </w:r>
            <w:r>
              <w:rPr>
                <w:rFonts w:ascii="Times New Roman" w:cs="Times New Roman" w:eastAsia="Times New Roman" w:hAnsi="Times New Roman"/>
                <w:b/>
                <w:bCs/>
                <w:sz w:val="20"/>
                <w:szCs w:val="20"/>
              </w:rPr>
              <w:t xml:space="preserve">tường dẫn</w:t>
            </w:r>
            <w:r>
              <w:rPr>
                <w:rFonts w:ascii="Times New Roman" w:cs="Times New Roman" w:eastAsia="Times New Roman" w:hAnsi="Times New Roman"/>
                <w:b w:val="false"/>
                <w:bCs w:val="false"/>
                <w:sz w:val="20"/>
                <w:szCs w:val="20"/>
              </w:rPr>
              <w:t xml:space="preserve">, tường vây 15%. Thêm cụm “shop-drawing được phê duyệt”</w:t>
            </w: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Đưa tường dẫn vào mức 15% có lợi cho B (tường dẫn nông, đổ trong ván khuôn, hao hụt thực tế thấp)</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Hao hụt tường dẫn theo định mức (đề xuất ≤3–5%). Nguyên tắc chung: hao hụt cho B </w:t>
            </w:r>
            <w:r>
              <w:rPr>
                <w:rFonts w:ascii="Times New Roman" w:cs="Times New Roman" w:eastAsia="Times New Roman" w:hAnsi="Times New Roman"/>
                <w:b/>
                <w:bCs/>
                <w:sz w:val="20"/>
                <w:szCs w:val="20"/>
              </w:rPr>
              <w:t xml:space="preserve">không vượt</w:t>
            </w:r>
            <w:r>
              <w:rPr>
                <w:rFonts w:ascii="Times New Roman" w:cs="Times New Roman" w:eastAsia="Times New Roman" w:hAnsi="Times New Roman"/>
                <w:b w:val="false"/>
                <w:bCs w:val="false"/>
                <w:sz w:val="20"/>
                <w:szCs w:val="20"/>
              </w:rPr>
              <w:t xml:space="preserve"> mức A được CĐT chấp nhận. Chấp nhận cụm “shop-drawing được phê duyệt”.</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23</w:t>
            </w:r>
          </w:p>
        </w:tc>
        <w:tc>
          <w:tcPr>
            <w:tcW w:type="dxa" w:w="165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Câu chữ khác (Biểu 01 đơn vị, Biểu 02 dấu câu, 7 hay 07 ngày, 4 hay 04 ngày)</w:t>
            </w:r>
          </w:p>
        </w:tc>
        <w:tc>
          <w:tcPr>
            <w:tcW w:type="dxa" w:w="3000"/>
            <w:tcMar>
              <w:top w:type="dxa" w:w="50"/>
              <w:left w:type="dxa" w:w="80"/>
              <w:bottom w:type="dxa" w:w="50"/>
              <w:right w:type="dxa" w:w="80"/>
            </w:tcMar>
            <w:vAlign w:val="top"/>
          </w:tcPr>
          <w:p>
            <w:pPr>
              <w:spacing w:after="40"/>
            </w:pPr>
          </w:p>
        </w:tc>
        <w:tc>
          <w:tcPr>
            <w:tcW w:type="dxa" w:w="3000"/>
            <w:tcMar>
              <w:top w:type="dxa" w:w="50"/>
              <w:left w:type="dxa" w:w="80"/>
              <w:bottom w:type="dxa" w:w="50"/>
              <w:right w:type="dxa" w:w="80"/>
            </w:tcMar>
            <w:vAlign w:val="top"/>
          </w:tcPr>
          <w:p>
            <w:pPr>
              <w:spacing w:after="40"/>
            </w:pPr>
          </w:p>
        </w:tc>
        <w:tc>
          <w:tcPr>
            <w:tcW w:type="dxa" w:w="2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Hình thức</w:t>
            </w:r>
          </w:p>
        </w:tc>
        <w:tc>
          <w:tcPr>
            <w:tcW w:type="dxa" w:w="443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Chấp nhận bản HQ.</w:t>
            </w:r>
          </w:p>
        </w:tc>
      </w:tr>
    </w:tbl>
    <w:p>
      <w:pPr>
        <w:pStyle w:val="Heading1"/>
        <w:spacing w:after="120" w:before="240"/>
      </w:pPr>
      <w:r>
        <w:rPr>
          <w:rFonts w:ascii="Times New Roman" w:cs="Times New Roman" w:eastAsia="Times New Roman" w:hAnsi="Times New Roman"/>
          <w:b/>
          <w:bCs/>
          <w:sz w:val="28"/>
          <w:szCs w:val="28"/>
        </w:rPr>
        <w:t xml:space="preserve">C. RỦI RO TỒN TẠI TRONG CẢ HAI BẢN</w:t>
      </w:r>
    </w:p>
    <w:p>
      <w:pPr>
        <w:spacing w:after="80"/>
        <w:jc w:val="both"/>
      </w:pPr>
      <w:r>
        <w:rPr>
          <w:rFonts w:ascii="Times New Roman" w:cs="Times New Roman" w:eastAsia="Times New Roman" w:hAnsi="Times New Roman"/>
          <w:i/>
          <w:iCs/>
          <w:sz w:val="22"/>
          <w:szCs w:val="22"/>
        </w:rPr>
        <w:t xml:space="preserve">Các điều khoản dưới đây giống nhau ở hai bản. HQ sẽ coi đây là “đã thống nhất”, nên Bên A cần chủ động mở lại với lập luận back-to-back (xem Phần F).</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450"/>
        <w:gridCol w:w="1500"/>
        <w:gridCol w:w="4000"/>
        <w:gridCol w:w="3600"/>
        <w:gridCol w:w="800"/>
        <w:gridCol w:w="4788"/>
      </w:tblGrid>
      <w:tr>
        <w:trPr>
          <w:tblHeader/>
        </w:trPr>
        <w:tc>
          <w:tcPr>
            <w:tcW w:type="dxa" w:w="45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TT</w:t>
            </w:r>
          </w:p>
        </w:tc>
        <w:tc>
          <w:tcPr>
            <w:tcW w:type="dxa" w:w="150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Điều</w:t>
            </w:r>
          </w:p>
        </w:tc>
        <w:tc>
          <w:tcPr>
            <w:tcW w:type="dxa" w:w="400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Nội dung hiện tại (có ở cả hai bản)</w:t>
            </w:r>
          </w:p>
        </w:tc>
        <w:tc>
          <w:tcPr>
            <w:tcW w:type="dxa" w:w="360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Rủi ro cho Bên A</w:t>
            </w:r>
          </w:p>
        </w:tc>
        <w:tc>
          <w:tcPr>
            <w:tcW w:type="dxa" w:w="80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Mức</w:t>
            </w:r>
          </w:p>
        </w:tc>
        <w:tc>
          <w:tcPr>
            <w:tcW w:type="dxa" w:w="4788"/>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Đề xuất sửa</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3.5 (và 11.1f, 10.9, 12.2.5c, 12.2.8d, 12.2.11c)</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Muốn khấu trừ, A phải thông báo, đối chiếu và chỉ được khấu trừ khoản “phát sinh trực tiếp từ lỗi của B”. Với khoản tranh chấp, A chỉ được tạm giữ “phần giá trị hợp lý”.</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Mâu thuẫn với 11.1f (A được giữ lại khoản tương ứng) và với các điều “B chấp nhận khấu trừ vô điều kiện”. B có thể kéo dài việc đối chiếu để vô hiệu hóa quyền khấu trừ.</w:t>
            </w:r>
          </w:p>
        </w:tc>
        <w:tc>
          <w:tcPr>
            <w:tcW w:type="dxa" w:w="800"/>
            <w:shd w:fill="F8CBAD"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Cao</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Đặt thời hạn phản hồi 05 ngày làm việc; B im lặng thì coi như đồng ý. A được tạm khấu trừ trước khi cần xử lý khẩn. Các điều khấu trừ chuyên biệt được ưu tiên áp dụng (câu chữ Phần D.5).</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2</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4.3 (đoạn 2–5) và đoạn mở đầu Điều 18</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 không chịu trách nhiệm khi thông tin hiện trường không chính xác hoặc do “nguyên nhân khách quan khác”. Bồi thường chỉ gồm thiệt hại “trực tiếp, có quan hệ nhân quả được chứng minh”. “Không áp dụng đồng thời nhiều khoản phạt hoặc bồi thường cho cùng một hành vi”.</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Câu cuối có thể bị hiểu là </w:t>
            </w:r>
            <w:r>
              <w:rPr>
                <w:rFonts w:ascii="Times New Roman" w:cs="Times New Roman" w:eastAsia="Times New Roman" w:hAnsi="Times New Roman"/>
                <w:b/>
                <w:bCs/>
                <w:sz w:val="20"/>
                <w:szCs w:val="20"/>
              </w:rPr>
              <w:t xml:space="preserve">A không được vừa phạt vừa đòi bồi thường</w:t>
            </w:r>
            <w:r>
              <w:rPr>
                <w:rFonts w:ascii="Times New Roman" w:cs="Times New Roman" w:eastAsia="Times New Roman" w:hAnsi="Times New Roman"/>
                <w:b w:val="false"/>
                <w:bCs w:val="false"/>
                <w:sz w:val="20"/>
                <w:szCs w:val="20"/>
              </w:rPr>
              <w:t xml:space="preserve">, kể cả khoản CĐT phạt A do lỗi của B. Cụm “thông tin hiện trường” trái với 9.2 và 12.2.9 (B được coi là đã khảo sát đủ).</w:t>
            </w:r>
          </w:p>
        </w:tc>
        <w:tc>
          <w:tcPr>
            <w:tcW w:type="dxa" w:w="800"/>
            <w:shd w:fill="F8CBAD"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Cao</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Bỏ cụm “thông tin hiện trường …”, hoặc giới hạn ở điều kiện địa chất bất thường có TVGS xác nhận. Thay câu cuối bằng câu chữ Phần D.3: phạt không loại trừ bồi thường; B chịu các khoản CĐT phạt hoặc giảm trừ A do lỗi của B.</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3</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7.3d và 11.2h</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Khi A chậm cấp vật tư, A bồi thường “toàn bộ các chi phí” chờ việc, nhân công, ca máy.</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Không yêu cầu thông báo, không có đơn giá, không có trần. Bê tông, thép do A cấp nên đây là rủi ro hằng ngày của A.</w:t>
            </w:r>
          </w:p>
        </w:tc>
        <w:tc>
          <w:tcPr>
            <w:tcW w:type="dxa" w:w="800"/>
            <w:shd w:fill="F8CBAD"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Cao</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Chỉ áp dụng khi B đã đề nghị đúng hạn; chậm quá 24 giờ (bê tông) hoặc 48 giờ (vật tư khác); có thông báo và BCH A xác nhận; tính theo đơn giá chờ việc trong phụ lục; tổng không quá 2% giá trị HĐ (câu chữ Phần D.7).</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4</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13.1a</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“Mọi thay đổi thiết kế, chỉ dẫn kỹ thuật, </w:t>
            </w:r>
            <w:r>
              <w:rPr>
                <w:rFonts w:ascii="Times New Roman" w:cs="Times New Roman" w:eastAsia="Times New Roman" w:hAnsi="Times New Roman"/>
                <w:b/>
                <w:bCs/>
                <w:sz w:val="20"/>
                <w:szCs w:val="20"/>
              </w:rPr>
              <w:t xml:space="preserve">biện pháp thi công, điều kiện thi công</w:t>
            </w:r>
            <w:r>
              <w:rPr>
                <w:rFonts w:ascii="Times New Roman" w:cs="Times New Roman" w:eastAsia="Times New Roman" w:hAnsi="Times New Roman"/>
                <w:b w:val="false"/>
                <w:bCs w:val="false"/>
                <w:sz w:val="20"/>
                <w:szCs w:val="20"/>
              </w:rPr>
              <w:t xml:space="preserve"> … làm tăng … rủi ro” đều được điều chỉnh giá và tiến độ. B được tự làm việc khẩn cấp rồi lập biên bản sau.</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Trái bản chất HĐ đơn giá cố định: biện pháp thi công là trách nhiệm của B. Đây là cửa ngõ cho các yêu cầu phát sinh.</w:t>
            </w:r>
          </w:p>
        </w:tc>
        <w:tc>
          <w:tcPr>
            <w:tcW w:type="dxa" w:w="800"/>
            <w:shd w:fill="F8CBAD"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Cao</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Chỉ điều chỉnh khi thay đổi do A hoặc CĐT yêu cầu bằng văn bản, nằm ngoài Biểu 01–03 hoặc làm thay đổi bản chất công việc. Khối lượng tăng giảm thanh toán theo đơn giá HĐ. Khôi phục 13.3.</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5</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15.1b, 15.1c và 16.5</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 được gia hạn và được trả chi phí khi chậm do A, CĐT hoặc “nguyên nhân không thuộc lỗi B”.</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Không có thời hạn thông báo khiếu nại. Chi phí do CĐT gây ra thì A trả B, trong khi A chưa chắc đòi lại được từ CĐT.</w:t>
            </w:r>
          </w:p>
        </w:tc>
        <w:tc>
          <w:tcPr>
            <w:tcW w:type="dxa" w:w="800"/>
            <w:shd w:fill="FFE699"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TB</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 phải thông báo trong 07 ngày và nộp hồ sơ chi tiết trong 14 ngày; quá hạn thì mất quyền. Chi phí do CĐT gây ra chỉ thanh toán trong phạm vi A được CĐT chấp thuận (back-to-back). Không tính lợi nhuận.</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6</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17.1(ii)</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 được tạm dừng thi công nếu A không khắc phục trong 7 ngày làm việc khi chậm thanh toán, bàn giao mặt bằng, thiết kế hoặc vật tư.</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Ngưỡng quá thấp, B có công cụ gây sức ép. Đình trệ thi công kéo theo A bị CĐT phạt.</w:t>
            </w:r>
          </w:p>
        </w:tc>
        <w:tc>
          <w:tcPr>
            <w:tcW w:type="dxa" w:w="800"/>
            <w:shd w:fill="F8CBAD"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Cao</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Chỉ áp dụng khi A chậm thanh toán khoản không tranh chấp quá 30 ngày, có thông báo trước 14 ngày. Chậm mặt bằng hoặc thiết kế chỉ xử lý bằng gia hạn, không cho tạm dừng.</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7</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17.2c</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 được đơn phương chấm dứt khi A chậm thanh toán quá 30 ngày, hoặc công trình tạm ngưng quá 60 ngày do lỗi A.</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Rủi ro mất nhà thầu giữa chừng.</w:t>
            </w:r>
          </w:p>
        </w:tc>
        <w:tc>
          <w:tcPr>
            <w:tcW w:type="dxa" w:w="800"/>
            <w:shd w:fill="FFE699"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TB</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Nâng lên 60 ngày (chỉ tính khoản không tranh chấp) và 90 ngày.</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8</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18.3</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Phạt 1%/ngày × giá trị “phần nghĩa vụ bị chậm”, trần 10% của phần đó.</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“Phần nghĩa vụ bị chậm” không được định nghĩa nên dễ tranh cãi. Không có mốc trung gian. Trần 10% thấp hơn thiệt hại thực tế nếu A bị CĐT phạt trên giá trị lớn hơn.</w:t>
            </w:r>
          </w:p>
        </w:tc>
        <w:tc>
          <w:tcPr>
            <w:tcW w:type="dxa" w:w="800"/>
            <w:shd w:fill="F8CBAD"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Cao</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Định nghĩa theo hạng mục hoặc mốc trong Biểu 01. Bổ sung mốc trung gian. Giữ quyền bồi thường và chuyển tiếp các khoản phạt của CĐT (câu chữ Phần D.4). Pháp chế cần xác nhận mức trần áp dụng (xem Phần G).</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9</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18.4</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Thời hạn khắc phục sai sót “do hai Bên thống nhất bằng văn bản”; không có mức phạt.</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 có thể kéo dài bằng cách không thống nhất thời hạn.</w:t>
            </w:r>
          </w:p>
        </w:tc>
        <w:tc>
          <w:tcPr>
            <w:tcW w:type="dxa" w:w="800"/>
            <w:shd w:fill="FFE699"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TB</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A ấn định thời hạn hợp lý (thông thường ≤03 ngày, khẩn cấp 24 giờ). Quá hạn thì A tự khắc phục, B chịu chi phí cộng 10% phí quản lý.</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10</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18.5</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Phải báo trước 05 ngày làm việc, nhưng </w:t>
            </w:r>
            <w:r>
              <w:rPr>
                <w:rFonts w:ascii="Times New Roman" w:cs="Times New Roman" w:eastAsia="Times New Roman" w:hAnsi="Times New Roman"/>
                <w:b/>
                <w:bCs/>
                <w:sz w:val="20"/>
                <w:szCs w:val="20"/>
              </w:rPr>
              <w:t xml:space="preserve">không có mức phạt</w:t>
            </w:r>
            <w:r>
              <w:rPr>
                <w:rFonts w:ascii="Times New Roman" w:cs="Times New Roman" w:eastAsia="Times New Roman" w:hAnsi="Times New Roman"/>
                <w:b w:val="false"/>
                <w:bCs w:val="false"/>
                <w:sz w:val="20"/>
                <w:szCs w:val="20"/>
              </w:rPr>
              <w:t xml:space="preserve"> chậm nộp hồ sơ.</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Điều khoản không có hiệu lực thực tế; hồ sơ hoàn công chậm ảnh hưởng đến thanh toán của A với CĐT.</w:t>
            </w:r>
          </w:p>
        </w:tc>
        <w:tc>
          <w:tcPr>
            <w:tcW w:type="dxa" w:w="800"/>
            <w:shd w:fill="FFE699"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TB</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Bổ sung mức phạt cố định, ví dụ 2.000.000 đ/ngày/loại hồ sơ, có trần.</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11</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19.1e</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Sau 60 ngày, dù chưa hoàn công đầu cọc và chưa nghiệm thu bề mặt tường vây “do … </w:t>
            </w:r>
            <w:r>
              <w:rPr>
                <w:rFonts w:ascii="Times New Roman" w:cs="Times New Roman" w:eastAsia="Times New Roman" w:hAnsi="Times New Roman"/>
                <w:b/>
                <w:bCs/>
                <w:sz w:val="20"/>
                <w:szCs w:val="20"/>
              </w:rPr>
              <w:t xml:space="preserve">bất kỳ lý do khác</w:t>
            </w:r>
            <w:r>
              <w:rPr>
                <w:rFonts w:ascii="Times New Roman" w:cs="Times New Roman" w:eastAsia="Times New Roman" w:hAnsi="Times New Roman"/>
                <w:b w:val="false"/>
                <w:bCs w:val="false"/>
                <w:sz w:val="20"/>
                <w:szCs w:val="20"/>
              </w:rPr>
              <w:t xml:space="preserve">”, A vẫn phải phê duyệt quyết toán và thanh toán.</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A trả tiền trước khi đào lộ cọc và tường vây, tức trước khi phát hiện khuyết tật, phình, thấm (Biểu 03 mục 8).</w:t>
            </w:r>
          </w:p>
        </w:tc>
        <w:tc>
          <w:tcPr>
            <w:tcW w:type="dxa" w:w="800"/>
            <w:shd w:fill="F8CBAD"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Cao</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Cho quyết toán, nhưng giữ thêm 5% hoặc yêu cầu B duy trì bảo lãnh thực hiện cho đến khi nghiệm thu đầu cọc và bề mặt tường vây. Bỏ cụm “bất kỳ lý do khác” (câu chữ Phần D.8).</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12</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10.3.2f</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A phải phê duyệt hồ sơ thanh toán trong 02 + 03 ngày làm việc và chỉ được phản hồi 01 lần.</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Không đủ thời gian kiểm tra. “Phản hồi 1 lần” hạn chế quyền điều chỉnh theo 10.7.</w:t>
            </w:r>
          </w:p>
        </w:tc>
        <w:tc>
          <w:tcPr>
            <w:tcW w:type="dxa" w:w="800"/>
            <w:shd w:fill="FFE699"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TB</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Nâng lên 05 + 07 ngày làm việc. Ghi rõ quyền điều chỉnh theo 10.7 không bị hạn chế, và A không phản hồi thì không bị coi là đã chấp thuận.</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13</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8.2 và 10.3.2b</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Bảo hành 24 tháng kể từ khi A nghiệm thu. Thanh toán 95% chỉ cần A duyệt.</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Không back-to-back với CĐT: A còn phải bảo hành cho CĐT trong khi B đã hết hạn bảo hành.</w:t>
            </w:r>
          </w:p>
        </w:tc>
        <w:tc>
          <w:tcPr>
            <w:tcW w:type="dxa" w:w="800"/>
            <w:shd w:fill="FFE699"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TB</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Thời hạn bảo hành không ngắn hơn thời hạn A bảo hành cho CĐT với phần việc tương ứng. Thanh toán hoàn thành cần TVGS/CĐT nghiệm thu.</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14</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10.3.2d Chiều sâu tường vây</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Thanh toán theo cos đỉnh và cos đáy </w:t>
            </w:r>
            <w:r>
              <w:rPr>
                <w:rFonts w:ascii="Times New Roman" w:cs="Times New Roman" w:eastAsia="Times New Roman" w:hAnsi="Times New Roman"/>
                <w:b/>
                <w:bCs/>
                <w:sz w:val="20"/>
                <w:szCs w:val="20"/>
              </w:rPr>
              <w:t xml:space="preserve">thiết kế</w:t>
            </w:r>
            <w:r>
              <w:rPr>
                <w:rFonts w:ascii="Times New Roman" w:cs="Times New Roman" w:eastAsia="Times New Roman" w:hAnsi="Times New Roman"/>
                <w:b w:val="false"/>
                <w:bCs w:val="false"/>
                <w:sz w:val="20"/>
                <w:szCs w:val="20"/>
              </w:rPr>
              <w:t xml:space="preserve">.</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Nếu thực tế gặp sỏi sớm và khoan ngắn hơn, A vẫn trả theo thiết kế.</w:t>
            </w:r>
          </w:p>
        </w:tc>
        <w:tc>
          <w:tcPr>
            <w:tcW w:type="dxa" w:w="800"/>
            <w:shd w:fill="FFE699"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TB</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Tính theo thiết kế hoặc thực tế được TVGS nghiệm thu, </w:t>
            </w:r>
            <w:r>
              <w:rPr>
                <w:rFonts w:ascii="Times New Roman" w:cs="Times New Roman" w:eastAsia="Times New Roman" w:hAnsi="Times New Roman"/>
                <w:b/>
                <w:bCs/>
                <w:sz w:val="20"/>
                <w:szCs w:val="20"/>
              </w:rPr>
              <w:t xml:space="preserve">lấy giá trị nhỏ hơn</w:t>
            </w:r>
            <w:r>
              <w:rPr>
                <w:rFonts w:ascii="Times New Roman" w:cs="Times New Roman" w:eastAsia="Times New Roman" w:hAnsi="Times New Roman"/>
                <w:b w:val="false"/>
                <w:bCs w:val="false"/>
                <w:sz w:val="20"/>
                <w:szCs w:val="20"/>
              </w:rPr>
              <w:t xml:space="preserve">. Phần vượt chỉ thanh toán khi có thay đổi thiết kế được duyệt. Áp dụng tương tự cho cọc.</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15</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9.3b(2)</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Giá HĐ “đã bao gồm toàn bộ chi phí … thi công </w:t>
            </w:r>
            <w:r>
              <w:rPr>
                <w:rFonts w:ascii="Times New Roman" w:cs="Times New Roman" w:eastAsia="Times New Roman" w:hAnsi="Times New Roman"/>
                <w:b/>
                <w:bCs/>
                <w:sz w:val="20"/>
                <w:szCs w:val="20"/>
              </w:rPr>
              <w:t xml:space="preserve">cọc khoan nhồi</w:t>
            </w:r>
            <w:r>
              <w:rPr>
                <w:rFonts w:ascii="Times New Roman" w:cs="Times New Roman" w:eastAsia="Times New Roman" w:hAnsi="Times New Roman"/>
                <w:b w:val="false"/>
                <w:bCs w:val="false"/>
                <w:sz w:val="20"/>
                <w:szCs w:val="20"/>
              </w:rPr>
              <w:t xml:space="preserve">”.</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Không nhắc tường dẫn, tường vây, bơm vữa, kingpost, mặt bằng, nên B có thể lập luận các phần này chưa bao gồm mọi chi phí.</w:t>
            </w:r>
          </w:p>
        </w:tc>
        <w:tc>
          <w:tcPr>
            <w:tcW w:type="dxa" w:w="800"/>
            <w:shd w:fill="FFE699"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TB</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Liệt kê đủ các phần việc. Thêm: chi phí xử lý sụt vách, mất dung dịch, vật cản ngầm… thuộc trách nhiệm của B.</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16</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7.2a Tiến độ</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“Tổng tiến độ dự kiến là: ...... ngày”.</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Chưa có con số thì không có căn cứ phạt.</w:t>
            </w:r>
          </w:p>
        </w:tc>
        <w:tc>
          <w:tcPr>
            <w:tcW w:type="dxa" w:w="800"/>
            <w:shd w:fill="F8CBAD"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Cao</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Điền tổng tiến độ và các mốc: hoàn thành cọc TN và thí nghiệm; tường dẫn, tường vây; cọc đại trà; mặt bằng.</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17</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22.3 Hiệu lực</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HĐ có hiệu lực từ ngày ký; bảo lãnh thực hiện nộp trong 14 ngày.</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A có thể phải thực hiện nghĩa vụ khi chưa có bảo lãnh thực hiện.</w:t>
            </w:r>
          </w:p>
        </w:tc>
        <w:tc>
          <w:tcPr>
            <w:tcW w:type="dxa" w:w="800"/>
            <w:shd w:fill="E2EFDA"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Thấp</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Nghĩa vụ tạm ứng, thanh toán của A chỉ phát sinh sau khi nhận bảo lãnh thực hiện. Quá 14 ngày chưa nộp thì A có quyền chấm dứt.</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18</w:t>
            </w:r>
          </w:p>
        </w:tc>
        <w:tc>
          <w:tcPr>
            <w:tcW w:type="dxa" w:w="15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20.1, 20.2 Gia hạn bảo lãnh</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 phải gia hạn khi còn 07 ngày trước ngày hết hạn.</w:t>
            </w:r>
          </w:p>
        </w:tc>
        <w:tc>
          <w:tcPr>
            <w:tcW w:type="dxa" w:w="36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Quá sát ngày hết hạn, A dễ mất bảo lãnh.</w:t>
            </w:r>
          </w:p>
        </w:tc>
        <w:tc>
          <w:tcPr>
            <w:tcW w:type="dxa" w:w="800"/>
            <w:shd w:fill="E2EFDA" w:color="auto" w:val="clear"/>
            <w:tcMar>
              <w:top w:type="dxa" w:w="50"/>
              <w:left w:type="dxa" w:w="80"/>
              <w:bottom w:type="dxa" w:w="50"/>
              <w:right w:type="dxa" w:w="80"/>
            </w:tcMar>
            <w:vAlign w:val="top"/>
          </w:tcPr>
          <w:p>
            <w:pPr>
              <w:spacing w:after="40"/>
            </w:pPr>
            <w:r>
              <w:rPr>
                <w:rFonts w:ascii="Times New Roman" w:cs="Times New Roman" w:eastAsia="Times New Roman" w:hAnsi="Times New Roman"/>
                <w:b/>
                <w:bCs/>
                <w:sz w:val="20"/>
                <w:szCs w:val="20"/>
              </w:rPr>
              <w:t xml:space="preserve">Thấp</w:t>
            </w:r>
          </w:p>
        </w:tc>
        <w:tc>
          <w:tcPr>
            <w:tcW w:type="dxa" w:w="47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14–28 ngày. Nếu B không gia hạn, A được rút toàn bộ giá trị bảo lãnh.</w:t>
            </w:r>
          </w:p>
        </w:tc>
      </w:tr>
    </w:tbl>
    <w:p>
      <w:pPr>
        <w:pStyle w:val="Heading1"/>
        <w:spacing w:after="120" w:before="240"/>
      </w:pPr>
      <w:r>
        <w:rPr>
          <w:rFonts w:ascii="Times New Roman" w:cs="Times New Roman" w:eastAsia="Times New Roman" w:hAnsi="Times New Roman"/>
          <w:b/>
          <w:bCs/>
          <w:sz w:val="28"/>
          <w:szCs w:val="28"/>
        </w:rPr>
        <w:t xml:space="preserve">D. CÂU CHỮ ĐỀ XUẤT CHO CÁC ĐIỀU KHOẢN TRỌNG YẾU</w:t>
      </w:r>
    </w:p>
    <w:p>
      <w:pPr>
        <w:pStyle w:val="Heading2"/>
        <w:spacing w:after="80" w:before="160"/>
      </w:pPr>
      <w:r>
        <w:rPr>
          <w:rFonts w:ascii="Times New Roman" w:cs="Times New Roman" w:eastAsia="Times New Roman" w:hAnsi="Times New Roman"/>
          <w:b/>
          <w:bCs/>
          <w:sz w:val="24"/>
          <w:szCs w:val="24"/>
        </w:rPr>
        <w:t xml:space="preserve">D.1. Điều 1.18 – Hạng mục công trình</w:t>
      </w:r>
    </w:p>
    <w:p>
      <w:pPr>
        <w:shd w:fill="F2F2F2" w:color="auto" w:val="clear"/>
        <w:spacing w:after="80"/>
        <w:ind w:left="500"/>
      </w:pPr>
      <w:r>
        <w:rPr>
          <w:rFonts w:ascii="Times New Roman" w:cs="Times New Roman" w:eastAsia="Times New Roman" w:hAnsi="Times New Roman"/>
          <w:i/>
          <w:iCs/>
          <w:sz w:val="22"/>
          <w:szCs w:val="22"/>
        </w:rPr>
        <w:t xml:space="preserve">1.18. Hạng mục công trình: Thi công cọc khoan nhồi (cọc thí nghiệm, cọc đại trà), tường dẫn, tường vây, bơm vữa xi măng ống siêu âm, hạ kingpost, làm mặt bằng thi công và các công việc khác theo Biểu 01, Biểu 02, Biểu 03 của Tòa nhà ở thương mại CT1.1.</w:t>
      </w:r>
    </w:p>
    <w:p>
      <w:pPr>
        <w:pStyle w:val="Heading2"/>
        <w:spacing w:after="80" w:before="160"/>
      </w:pPr>
      <w:r>
        <w:rPr>
          <w:rFonts w:ascii="Times New Roman" w:cs="Times New Roman" w:eastAsia="Times New Roman" w:hAnsi="Times New Roman"/>
          <w:b/>
          <w:bCs/>
          <w:sz w:val="24"/>
          <w:szCs w:val="24"/>
        </w:rPr>
        <w:t xml:space="preserve">D.2. Khôi phục Điều 13.3 – Các thay đổi không được coi là phát sinh</w:t>
      </w:r>
    </w:p>
    <w:p>
      <w:pPr>
        <w:shd w:fill="F2F2F2" w:color="auto" w:val="clear"/>
        <w:spacing w:after="80"/>
        <w:ind w:left="500"/>
      </w:pPr>
      <w:r>
        <w:rPr>
          <w:rFonts w:ascii="Times New Roman" w:cs="Times New Roman" w:eastAsia="Times New Roman" w:hAnsi="Times New Roman"/>
          <w:i/>
          <w:iCs/>
          <w:sz w:val="22"/>
          <w:szCs w:val="22"/>
        </w:rPr>
        <w:t xml:space="preserve">13.3. Bên B được coi là đã nghiên cứu đầy đủ Hồ sơ thiết kế, Chỉ dẫn kỹ thuật và điều kiện Công trường. Các nội dung sau không được coi là công việc phát sinh và không làm thay đổi đơn giá, giá Hợp đồng hoặc tiến độ: (i) điều chỉnh biện pháp thi công do Bên B lập hoặc theo yêu cầu của Bên A/Tư vấn giám sát nhằm đáp ứng yêu cầu chất lượng, an toàn, môi trường theo Hợp đồng; (ii) thay đổi phương pháp, tần suất thí nghiệm, kiểm tra trong phạm vi tiêu chuẩn, chỉ dẫn kỹ thuật áp dụng; (iii) tăng, giảm khối lượng các công việc đã có đơn giá trong Biểu 01 (thanh toán theo đơn giá Hợp đồng); (iv) các công việc cần thiết để hoàn thành Hạng mục công trình dù không được liệt kê cụ thể; (v) xử lý sự cố, khắc phục sai sót do lỗi của Bên B.</w:t>
      </w:r>
    </w:p>
    <w:p>
      <w:pPr>
        <w:spacing w:after="80"/>
        <w:jc w:val="both"/>
      </w:pPr>
      <w:r>
        <w:rPr>
          <w:rFonts w:ascii="Times New Roman" w:cs="Times New Roman" w:eastAsia="Times New Roman" w:hAnsi="Times New Roman"/>
          <w:sz w:val="22"/>
          <w:szCs w:val="22"/>
        </w:rPr>
        <w:t xml:space="preserve">Đồng thời sửa 13.1a: chỉ điều chỉnh giá và tiến độ đối với “thay đổi do Bên A/Chủ đầu tư yêu cầu bằng văn bản, nằm ngoài phạm vi Biểu 01–03 hoặc làm thay đổi bản chất công việc”; bỏ cụm “biện pháp thi công, điều kiện thi công … hoặc rủi ro”.</w:t>
      </w:r>
    </w:p>
    <w:p>
      <w:pPr>
        <w:pStyle w:val="Heading2"/>
        <w:spacing w:after="80" w:before="160"/>
      </w:pPr>
      <w:r>
        <w:rPr>
          <w:rFonts w:ascii="Times New Roman" w:cs="Times New Roman" w:eastAsia="Times New Roman" w:hAnsi="Times New Roman"/>
          <w:b/>
          <w:bCs/>
          <w:sz w:val="24"/>
          <w:szCs w:val="24"/>
        </w:rPr>
        <w:t xml:space="preserve">D.3. Thay câu cuối đoạn mở đầu Điều 18 (và câu tương tự tại 4.3)</w:t>
      </w:r>
    </w:p>
    <w:p>
      <w:pPr>
        <w:shd w:fill="F2F2F2" w:color="auto" w:val="clear"/>
        <w:spacing w:after="80"/>
        <w:ind w:left="500"/>
      </w:pPr>
      <w:r>
        <w:rPr>
          <w:rFonts w:ascii="Times New Roman" w:cs="Times New Roman" w:eastAsia="Times New Roman" w:hAnsi="Times New Roman"/>
          <w:i/>
          <w:iCs/>
          <w:sz w:val="22"/>
          <w:szCs w:val="22"/>
        </w:rPr>
        <w:t xml:space="preserve">Việc áp dụng phạt vi phạm không loại trừ quyền của bên bị vi phạm yêu cầu bồi thường thiệt hại. Một khoản thiệt hại không được bồi thường hai lần. Thiệt hại của Bên A bao gồm nhưng không giới hạn các khoản tiền phạt, khấu trừ, bồi thường mà Bên A phải chịu đối với Chủ đầu tư phát sinh từ vi phạm của Bên B.</w:t>
      </w:r>
    </w:p>
    <w:p>
      <w:pPr>
        <w:pStyle w:val="Heading2"/>
        <w:spacing w:after="80" w:before="160"/>
      </w:pPr>
      <w:r>
        <w:rPr>
          <w:rFonts w:ascii="Times New Roman" w:cs="Times New Roman" w:eastAsia="Times New Roman" w:hAnsi="Times New Roman"/>
          <w:b/>
          <w:bCs/>
          <w:sz w:val="24"/>
          <w:szCs w:val="24"/>
        </w:rPr>
        <w:t xml:space="preserve">D.4. Điều 18.3 – Phạt chậm tiến độ</w:t>
      </w:r>
    </w:p>
    <w:p>
      <w:pPr>
        <w:shd w:fill="F2F2F2" w:color="auto" w:val="clear"/>
        <w:spacing w:after="80"/>
        <w:ind w:left="500"/>
      </w:pPr>
      <w:r>
        <w:rPr>
          <w:rFonts w:ascii="Times New Roman" w:cs="Times New Roman" w:eastAsia="Times New Roman" w:hAnsi="Times New Roman"/>
          <w:i/>
          <w:iCs/>
          <w:sz w:val="22"/>
          <w:szCs w:val="22"/>
        </w:rPr>
        <w:t xml:space="preserve">Nếu Bên B chậm hoàn thành các mốc tiến độ hoặc thời hạn hoàn thành theo tiến độ được duyệt do lỗi của Bên B, Bên B chịu phạt 01% giá trị phần công việc bị chậm cho mỗi ngày chậm. Giá trị phần công việc bị chậm là giá trị theo Biểu 01 của hạng mục tương ứng với mốc bị chậm (Cọc thí nghiệm; Tường dẫn – Tường vây; Cọc đại trà; Mặt bằng thi công). Tổng mức phạt chậm tiến độ không vượt quá mức tối đa pháp luật cho phép tính trên giá trị phần hợp đồng bị vi phạm. Ngoài tiền phạt, Bên B có trách nhiệm bồi thường thiệt hại theo quy định tại Điều 18.</w:t>
      </w:r>
    </w:p>
    <w:p>
      <w:pPr>
        <w:pStyle w:val="Heading2"/>
        <w:spacing w:after="80" w:before="160"/>
      </w:pPr>
      <w:r>
        <w:rPr>
          <w:rFonts w:ascii="Times New Roman" w:cs="Times New Roman" w:eastAsia="Times New Roman" w:hAnsi="Times New Roman"/>
          <w:b/>
          <w:bCs/>
          <w:sz w:val="24"/>
          <w:szCs w:val="24"/>
        </w:rPr>
        <w:t xml:space="preserve">D.5. Điều 3.5 – Thay đoạn thủ tục khấu trừ</w:t>
      </w:r>
    </w:p>
    <w:p>
      <w:pPr>
        <w:shd w:fill="F2F2F2" w:color="auto" w:val="clear"/>
        <w:spacing w:after="80"/>
        <w:ind w:left="500"/>
      </w:pPr>
      <w:r>
        <w:rPr>
          <w:rFonts w:ascii="Times New Roman" w:cs="Times New Roman" w:eastAsia="Times New Roman" w:hAnsi="Times New Roman"/>
          <w:i/>
          <w:iCs/>
          <w:sz w:val="22"/>
          <w:szCs w:val="22"/>
        </w:rPr>
        <w:t xml:space="preserve">Trước khi khấu trừ, Bên A thông báo bằng văn bản cho Bên B nội dung vi phạm, căn cứ và giá trị dự kiến. Trong vòng 05 ngày làm việc kể từ ngày nhận thông báo, Bên B phải có ý kiến bằng văn bản; quá thời hạn này Bên B được coi là đã chấp thuận. Trường hợp cần xử lý ngay để bảo đảm tiến độ, chất lượng, an toàn hoặc nghĩa vụ với Chủ đầu tư, Bên A được tạm khấu trừ trước và đối chiếu sau. Đối với khoản đang tranh chấp, Bên A được tạm giữ giá trị tương ứng theo ước tính hợp lý của Bên A cho đến khi giải quyết xong. Các quy định khấu trừ tại Điều 6.3, 7.3, 12.2.5, 12.2.8, 12.2.11 được ưu tiên áp dụng.</w:t>
      </w:r>
    </w:p>
    <w:p>
      <w:pPr>
        <w:pStyle w:val="Heading2"/>
        <w:spacing w:after="80" w:before="160"/>
      </w:pPr>
      <w:r>
        <w:rPr>
          <w:rFonts w:ascii="Times New Roman" w:cs="Times New Roman" w:eastAsia="Times New Roman" w:hAnsi="Times New Roman"/>
          <w:b/>
          <w:bCs/>
          <w:sz w:val="24"/>
          <w:szCs w:val="24"/>
        </w:rPr>
        <w:t xml:space="preserve">D.6. Điều 7.3a – Bổ sung cơ chế thông báo (time-bar)</w:t>
      </w:r>
    </w:p>
    <w:p>
      <w:pPr>
        <w:shd w:fill="F2F2F2" w:color="auto" w:val="clear"/>
        <w:spacing w:after="80"/>
        <w:ind w:left="500"/>
      </w:pPr>
      <w:r>
        <w:rPr>
          <w:rFonts w:ascii="Times New Roman" w:cs="Times New Roman" w:eastAsia="Times New Roman" w:hAnsi="Times New Roman"/>
          <w:i/>
          <w:iCs/>
          <w:sz w:val="22"/>
          <w:szCs w:val="22"/>
        </w:rPr>
        <w:t xml:space="preserve">Bên B chỉ được loại trừ thời gian chậm do nguyên nhân không thuộc lỗi của Bên B nếu đã thông báo bằng văn bản cho Bên A trong vòng 07 ngày kể từ ngày phát sinh sự kiện, nêu rõ ảnh hưởng đến đường găng tiến độ, và được Bên A xác nhận. Quá thời hạn nêu trên, Bên B mất quyền yêu cầu gia hạn và chi phí đối với sự kiện đó. Quy định này áp dụng tương tự cho Điều 15.1 và Điều 16.</w:t>
      </w:r>
    </w:p>
    <w:p>
      <w:pPr>
        <w:pStyle w:val="Heading2"/>
        <w:spacing w:after="80" w:before="160"/>
      </w:pPr>
      <w:r>
        <w:rPr>
          <w:rFonts w:ascii="Times New Roman" w:cs="Times New Roman" w:eastAsia="Times New Roman" w:hAnsi="Times New Roman"/>
          <w:b/>
          <w:bCs/>
          <w:sz w:val="24"/>
          <w:szCs w:val="24"/>
        </w:rPr>
        <w:t xml:space="preserve">D.7. Điều 7.3d – Chi phí chờ việc do chậm cấp vật tư</w:t>
      </w:r>
    </w:p>
    <w:p>
      <w:pPr>
        <w:shd w:fill="F2F2F2" w:color="auto" w:val="clear"/>
        <w:spacing w:after="80"/>
        <w:ind w:left="500"/>
      </w:pPr>
      <w:r>
        <w:rPr>
          <w:rFonts w:ascii="Times New Roman" w:cs="Times New Roman" w:eastAsia="Times New Roman" w:hAnsi="Times New Roman"/>
          <w:i/>
          <w:iCs/>
          <w:sz w:val="22"/>
          <w:szCs w:val="22"/>
        </w:rPr>
        <w:t xml:space="preserve">Trường hợp Bên A chậm cấp vật tư so với đề nghị hợp lệ của Bên B theo Điều 14.1 quá 24 giờ (đối với bê tông) hoặc 48 giờ (đối với vật tư khác) làm Bên B phải dừng thi công, Bên B phải thông báo ngay bằng văn bản để Ban chỉ huy Bên A xác nhận. Tiến độ được gia hạn tương ứng với thời gian bị ảnh hưởng trên đường găng. Chi phí chờ việc chỉ được thanh toán cho máy và nhân lực chính thực tế dừng chờ, có xác nhận của Ban chỉ huy Bên A, theo đơn giá chờ việc tại Phụ lục …, với tổng giá trị không vượt quá 02% giá trị Hợp đồng. Bên B có nghĩa vụ điều chuyển nguồn lực sang phần việc khác để hạn chế thiệt hại.</w:t>
      </w:r>
    </w:p>
    <w:p>
      <w:pPr>
        <w:pStyle w:val="Heading2"/>
        <w:spacing w:after="80" w:before="160"/>
      </w:pPr>
      <w:r>
        <w:rPr>
          <w:rFonts w:ascii="Times New Roman" w:cs="Times New Roman" w:eastAsia="Times New Roman" w:hAnsi="Times New Roman"/>
          <w:b/>
          <w:bCs/>
          <w:sz w:val="24"/>
          <w:szCs w:val="24"/>
        </w:rPr>
        <w:t xml:space="preserve">D.8. Điều 19.1e – Quyết toán khi chưa nghiệm thu đầu cọc, tường vây</w:t>
      </w:r>
    </w:p>
    <w:p>
      <w:pPr>
        <w:shd w:fill="F2F2F2" w:color="auto" w:val="clear"/>
        <w:spacing w:after="80"/>
        <w:ind w:left="500"/>
      </w:pPr>
      <w:r>
        <w:rPr>
          <w:rFonts w:ascii="Times New Roman" w:cs="Times New Roman" w:eastAsia="Times New Roman" w:hAnsi="Times New Roman"/>
          <w:i/>
          <w:iCs/>
          <w:sz w:val="22"/>
          <w:szCs w:val="22"/>
        </w:rPr>
        <w:t xml:space="preserve">Trường hợp sau 60 ngày kể từ ngày Bên B hoàn thành toàn bộ công việc mà chưa thể hoàn công đầu cọc, nghiệm thu bề mặt tường vây vì lý do không thuộc trách nhiệm của Bên B, Bên A xem xét phê duyệt quyết toán trên cơ sở khối lượng đã nghiệm thu, đồng thời giữ lại thêm 05% giá trị quyết toán (hoặc Bên B duy trì bảo lãnh thực hiện Hợp đồng) cho đến khi hoàn công đầu cọc và nghiệm thu bề mặt tường vây. Việc quyết toán không chấm dứt nghĩa vụ của Bên B trong việc xử lý cọc, tường vây không đạt yêu cầu (phình quá 5 cm, thấm, khuyết tật…) do lỗi của Bên B.</w:t>
      </w:r>
    </w:p>
    <w:p>
      <w:pPr>
        <w:pStyle w:val="Heading1"/>
        <w:spacing w:after="120" w:before="240"/>
      </w:pPr>
      <w:r>
        <w:rPr>
          <w:rFonts w:ascii="Times New Roman" w:cs="Times New Roman" w:eastAsia="Times New Roman" w:hAnsi="Times New Roman"/>
          <w:b/>
          <w:bCs/>
          <w:sz w:val="28"/>
          <w:szCs w:val="28"/>
        </w:rPr>
        <w:t xml:space="preserve">E. LỖI KỸ THUẬT, SỐ LIỆU CẦN SỬA (CẢ HAI BẢN)</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450"/>
        <w:gridCol w:w="3200"/>
        <w:gridCol w:w="6000"/>
        <w:gridCol w:w="5488"/>
      </w:tblGrid>
      <w:tr>
        <w:trPr>
          <w:tblHeader/>
        </w:trPr>
        <w:tc>
          <w:tcPr>
            <w:tcW w:type="dxa" w:w="45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TT</w:t>
            </w:r>
          </w:p>
        </w:tc>
        <w:tc>
          <w:tcPr>
            <w:tcW w:type="dxa" w:w="320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Vị trí</w:t>
            </w:r>
          </w:p>
        </w:tc>
        <w:tc>
          <w:tcPr>
            <w:tcW w:type="dxa" w:w="600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Lỗi</w:t>
            </w:r>
          </w:p>
        </w:tc>
        <w:tc>
          <w:tcPr>
            <w:tcW w:type="dxa" w:w="5488"/>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Sửa</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w:t>
            </w:r>
          </w:p>
        </w:tc>
        <w:tc>
          <w:tcPr>
            <w:tcW w:type="dxa" w:w="32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Biểu 01, dòng 3.2 và các dòng tổng</w:t>
            </w:r>
          </w:p>
        </w:tc>
        <w:tc>
          <w:tcPr>
            <w:tcW w:type="dxa" w:w="6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Dòng 3.2 = 26.432.516.000 (đúng bằng 12.014,78 × 2.200.000), nhưng tổng mục 3 vẫn ghi 29.640.966.900. Dòng “Trước thuế” đã cập nhật thành 52.362.503.540, còn VAT 4.189.000.987 và “Sau thuế” 56.551.513.327 chưa cập nhật. Có ở cả hai bản.</w:t>
            </w:r>
          </w:p>
        </w:tc>
        <w:tc>
          <w:tcPr>
            <w:tcW w:type="dxa" w:w="54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Mục 3 = </w:t>
            </w:r>
            <w:r>
              <w:rPr>
                <w:rFonts w:ascii="Times New Roman" w:cs="Times New Roman" w:eastAsia="Times New Roman" w:hAnsi="Times New Roman"/>
                <w:b/>
                <w:bCs/>
                <w:sz w:val="20"/>
                <w:szCs w:val="20"/>
              </w:rPr>
              <w:t xml:space="preserve">29.640.958.100</w:t>
            </w:r>
            <w:r>
              <w:rPr>
                <w:rFonts w:ascii="Times New Roman" w:cs="Times New Roman" w:eastAsia="Times New Roman" w:hAnsi="Times New Roman"/>
                <w:b w:val="false"/>
                <w:bCs w:val="false"/>
                <w:sz w:val="20"/>
                <w:szCs w:val="20"/>
              </w:rPr>
              <w:t xml:space="preserve">; VAT 8% = </w:t>
            </w:r>
            <w:r>
              <w:rPr>
                <w:rFonts w:ascii="Times New Roman" w:cs="Times New Roman" w:eastAsia="Times New Roman" w:hAnsi="Times New Roman"/>
                <w:b/>
                <w:bCs/>
                <w:sz w:val="20"/>
                <w:szCs w:val="20"/>
              </w:rPr>
              <w:t xml:space="preserve">4.189.000.283</w:t>
            </w:r>
            <w:r>
              <w:rPr>
                <w:rFonts w:ascii="Times New Roman" w:cs="Times New Roman" w:eastAsia="Times New Roman" w:hAnsi="Times New Roman"/>
                <w:b w:val="false"/>
                <w:bCs w:val="false"/>
                <w:sz w:val="20"/>
                <w:szCs w:val="20"/>
              </w:rPr>
              <w:t xml:space="preserve">; sau thuế = </w:t>
            </w:r>
            <w:r>
              <w:rPr>
                <w:rFonts w:ascii="Times New Roman" w:cs="Times New Roman" w:eastAsia="Times New Roman" w:hAnsi="Times New Roman"/>
                <w:b/>
                <w:bCs/>
                <w:sz w:val="20"/>
                <w:szCs w:val="20"/>
              </w:rPr>
              <w:t xml:space="preserve">56.551.503.823</w:t>
            </w:r>
            <w:r>
              <w:rPr>
                <w:rFonts w:ascii="Times New Roman" w:cs="Times New Roman" w:eastAsia="Times New Roman" w:hAnsi="Times New Roman"/>
                <w:b w:val="false"/>
                <w:bCs w:val="false"/>
                <w:sz w:val="20"/>
                <w:szCs w:val="20"/>
              </w:rPr>
              <w:t xml:space="preserve">. Sửa đồng bộ giá trị và chữ số bằng chữ tại Điều 9.3 (hiện đang dư 9.504 đ).</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2</w:t>
            </w:r>
          </w:p>
        </w:tc>
        <w:tc>
          <w:tcPr>
            <w:tcW w:type="dxa" w:w="32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Biểu 01, mục 4 Bơm vữa XM ống siêu âm</w:t>
            </w:r>
          </w:p>
        </w:tc>
        <w:tc>
          <w:tcPr>
            <w:tcW w:type="dxa" w:w="6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Khối lượng 278,12 </w:t>
            </w:r>
            <w:r>
              <w:rPr>
                <w:rFonts w:ascii="Times New Roman" w:cs="Times New Roman" w:eastAsia="Times New Roman" w:hAnsi="Times New Roman"/>
                <w:b/>
                <w:bCs/>
                <w:sz w:val="20"/>
                <w:szCs w:val="20"/>
              </w:rPr>
              <w:t xml:space="preserve">m3</w:t>
            </w:r>
            <w:r>
              <w:rPr>
                <w:rFonts w:ascii="Times New Roman" w:cs="Times New Roman" w:eastAsia="Times New Roman" w:hAnsi="Times New Roman"/>
                <w:b w:val="false"/>
                <w:bCs w:val="false"/>
                <w:sz w:val="20"/>
                <w:szCs w:val="20"/>
              </w:rPr>
              <w:t xml:space="preserve"> trùng khớp với chiều dài tường dẫn 278,12 </w:t>
            </w:r>
            <w:r>
              <w:rPr>
                <w:rFonts w:ascii="Times New Roman" w:cs="Times New Roman" w:eastAsia="Times New Roman" w:hAnsi="Times New Roman"/>
                <w:b/>
                <w:bCs/>
                <w:sz w:val="20"/>
                <w:szCs w:val="20"/>
              </w:rPr>
              <w:t xml:space="preserve">m</w:t>
            </w:r>
            <w:r>
              <w:rPr>
                <w:rFonts w:ascii="Times New Roman" w:cs="Times New Roman" w:eastAsia="Times New Roman" w:hAnsi="Times New Roman"/>
                <w:b w:val="false"/>
                <w:bCs w:val="false"/>
                <w:sz w:val="20"/>
                <w:szCs w:val="20"/>
              </w:rPr>
              <w:t xml:space="preserve">. Giá trị 2,92 tỷ.</w:t>
            </w:r>
          </w:p>
        </w:tc>
        <w:tc>
          <w:tcPr>
            <w:tcW w:type="dxa" w:w="54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Kiểm tra lại khối lượng và đơn vị theo thiết kế (số ống × chiều dài × tiết diện vữa) trước khi ký.</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3</w:t>
            </w:r>
          </w:p>
        </w:tc>
        <w:tc>
          <w:tcPr>
            <w:tcW w:type="dxa" w:w="32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Biểu 01, dòng 3.2</w:t>
            </w:r>
          </w:p>
        </w:tc>
        <w:tc>
          <w:tcPr>
            <w:tcW w:type="dxa" w:w="6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“Đào tường vây B1000”; các tài liệu khác ghi W1000 hoặc D1000.</w:t>
            </w:r>
          </w:p>
        </w:tc>
        <w:tc>
          <w:tcPr>
            <w:tcW w:type="dxa" w:w="54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Thống nhất: “Khoan (đào) tường vây dày 1000 mm”.</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4</w:t>
            </w:r>
          </w:p>
        </w:tc>
        <w:tc>
          <w:tcPr>
            <w:tcW w:type="dxa" w:w="32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Điều 20</w:t>
            </w:r>
          </w:p>
        </w:tc>
        <w:tc>
          <w:tcPr>
            <w:tcW w:type="dxa" w:w="6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Hai mục cùng đánh số “20.2” (bảo lãnh thực hiện và bảo lãnh bảo hành).</w:t>
            </w:r>
          </w:p>
        </w:tc>
        <w:tc>
          <w:tcPr>
            <w:tcW w:type="dxa" w:w="54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Đổi bảo lãnh bảo hành thành 20.3.</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5</w:t>
            </w:r>
          </w:p>
        </w:tc>
        <w:tc>
          <w:tcPr>
            <w:tcW w:type="dxa" w:w="32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1.14 và 1.20</w:t>
            </w:r>
          </w:p>
        </w:tc>
        <w:tc>
          <w:tcPr>
            <w:tcW w:type="dxa" w:w="6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1.14 dẫn chiếu “Điều 5” cho nghiệm thu, nhưng nghiệm thu nằm ở Điều 6. 1.20 dẫn “Rủi ro và bất khả kháng”, còn Điều 16 tên là “Bất khả kháng”.</w:t>
            </w:r>
          </w:p>
        </w:tc>
        <w:tc>
          <w:tcPr>
            <w:tcW w:type="dxa" w:w="54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Sửa dẫn chiếu.</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6</w:t>
            </w:r>
          </w:p>
        </w:tc>
        <w:tc>
          <w:tcPr>
            <w:tcW w:type="dxa" w:w="32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Đầu HĐ, 1.8, 1.17, 4.1</w:t>
            </w:r>
          </w:p>
        </w:tc>
        <w:tc>
          <w:tcPr>
            <w:tcW w:type="dxa" w:w="6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Lẫn “nhà ở xã hội” với “nhà ở thương mại”.</w:t>
            </w:r>
          </w:p>
        </w:tc>
        <w:tc>
          <w:tcPr>
            <w:tcW w:type="dxa" w:w="54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Đồng bộ (Phần B, dòng 1).</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7</w:t>
            </w:r>
          </w:p>
        </w:tc>
        <w:tc>
          <w:tcPr>
            <w:tcW w:type="dxa" w:w="32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12.2d, 14.1, Biểu 03</w:t>
            </w:r>
          </w:p>
        </w:tc>
        <w:tc>
          <w:tcPr>
            <w:tcW w:type="dxa" w:w="6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Ba chỗ quy định lịch đề nghị vật tư khác nhau.</w:t>
            </w:r>
          </w:p>
        </w:tc>
        <w:tc>
          <w:tcPr>
            <w:tcW w:type="dxa" w:w="54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Dùng một quy tắc: bê tông lập kế hoạch trước 10 ngày, báo từng đợt trước 01 ngày; vật tư khác lập kế hoạch trước 14 ngày, từng đợt trước 08 (07) ngày; thép theo mô đun trước 15 ngày.</w:t>
            </w:r>
          </w:p>
        </w:tc>
      </w:tr>
    </w:tbl>
    <w:p>
      <w:pPr>
        <w:pStyle w:val="Heading1"/>
        <w:spacing w:after="120" w:before="240"/>
      </w:pPr>
      <w:r>
        <w:rPr>
          <w:rFonts w:ascii="Times New Roman" w:cs="Times New Roman" w:eastAsia="Times New Roman" w:hAnsi="Times New Roman"/>
          <w:b/>
          <w:bCs/>
          <w:sz w:val="28"/>
          <w:szCs w:val="28"/>
        </w:rPr>
        <w:t xml:space="preserve">F. CHIẾN LƯỢC ĐÀM PHÁN</w:t>
      </w:r>
    </w:p>
    <w:p>
      <w:pPr>
        <w:pStyle w:val="Heading2"/>
        <w:spacing w:after="80" w:before="160"/>
      </w:pPr>
      <w:r>
        <w:rPr>
          <w:rFonts w:ascii="Times New Roman" w:cs="Times New Roman" w:eastAsia="Times New Roman" w:hAnsi="Times New Roman"/>
          <w:b/>
          <w:bCs/>
          <w:sz w:val="24"/>
          <w:szCs w:val="24"/>
        </w:rPr>
        <w:t xml:space="preserve">F.1. Nguyên tắc</w:t>
      </w:r>
    </w:p>
    <w:p>
      <w:pPr>
        <w:pStyle w:val="ListParagraph"/>
        <w:numPr>
          <w:ilvl w:val="0"/>
          <w:numId w:val="2"/>
        </w:numPr>
        <w:spacing w:after="50"/>
      </w:pPr>
      <w:r>
        <w:rPr>
          <w:rFonts w:ascii="Times New Roman" w:cs="Times New Roman" w:eastAsia="Times New Roman" w:hAnsi="Times New Roman"/>
          <w:b/>
          <w:bCs/>
          <w:sz w:val="22"/>
          <w:szCs w:val="22"/>
        </w:rPr>
        <w:t xml:space="preserve">Back-to-back là lập luận chính.</w:t>
      </w:r>
      <w:r>
        <w:rPr>
          <w:rFonts w:ascii="Times New Roman" w:cs="Times New Roman" w:eastAsia="Times New Roman" w:hAnsi="Times New Roman"/>
          <w:sz w:val="22"/>
          <w:szCs w:val="22"/>
        </w:rPr>
        <w:t xml:space="preserve"> Mọi điều kiện về tiến độ, chất lượng, phạt, bảo hành, thanh toán và phát sinh với B không được kém hơn điều kiện A đang chịu với CĐT IFT. Lý do nên nêu với HQ: “Bên A không thể nhận rủi ro mà không chuyển tiếp được sang nhà thầu thực hiện.” Trước buổi đàm phán, cần trích sẵn các điều tương ứng trong HĐ thầu chính (phạt, bảo hành, thời hạn thông báo, hao hụt) để đối chiếu.</w:t>
      </w:r>
    </w:p>
    <w:p>
      <w:pPr>
        <w:pStyle w:val="ListParagraph"/>
        <w:numPr>
          <w:ilvl w:val="0"/>
          <w:numId w:val="2"/>
        </w:numPr>
        <w:spacing w:after="50"/>
      </w:pPr>
      <w:r>
        <w:rPr>
          <w:rFonts w:ascii="Times New Roman" w:cs="Times New Roman" w:eastAsia="Times New Roman" w:hAnsi="Times New Roman"/>
          <w:b/>
          <w:bCs/>
          <w:sz w:val="22"/>
          <w:szCs w:val="22"/>
        </w:rPr>
        <w:t xml:space="preserve">Chốt các điểm có lợi trước, mở các điểm khó sau.</w:t>
      </w:r>
      <w:r>
        <w:rPr>
          <w:rFonts w:ascii="Times New Roman" w:cs="Times New Roman" w:eastAsia="Times New Roman" w:hAnsi="Times New Roman"/>
          <w:sz w:val="22"/>
          <w:szCs w:val="22"/>
        </w:rPr>
        <w:t xml:space="preserve"> Mở đầu bằng việc ký biên bản xác nhận 8 điểm HQ view đã có lợi cho A (Phần A), để HQ không thể đem chúng ra đổi lại về sau.</w:t>
      </w:r>
    </w:p>
    <w:p>
      <w:pPr>
        <w:pStyle w:val="ListParagraph"/>
        <w:numPr>
          <w:ilvl w:val="0"/>
          <w:numId w:val="2"/>
        </w:numPr>
        <w:spacing w:after="50"/>
      </w:pPr>
      <w:r>
        <w:rPr>
          <w:rFonts w:ascii="Times New Roman" w:cs="Times New Roman" w:eastAsia="Times New Roman" w:hAnsi="Times New Roman"/>
          <w:b/>
          <w:bCs/>
          <w:sz w:val="22"/>
          <w:szCs w:val="22"/>
        </w:rPr>
        <w:t xml:space="preserve">Trao đổi theo gói, không nhượng lẻ từng điểm.</w:t>
      </w:r>
      <w:r>
        <w:rPr>
          <w:rFonts w:ascii="Times New Roman" w:cs="Times New Roman" w:eastAsia="Times New Roman" w:hAnsi="Times New Roman"/>
          <w:sz w:val="22"/>
          <w:szCs w:val="22"/>
        </w:rPr>
        <w:t xml:space="preserve"> Mỗi nhượng bộ của A phải gắn với một điểm A nhận lại. Ví dụ: A chấp nhận nguyên tắc “phạt khi do lỗi của B” (hợp lý, khó bác bỏ), đổi lại B chấp nhận cơ chế thông báo 07 ngày, quyền chuyển tiếp phạt của CĐT và định nghĩa mốc phạt.</w:t>
      </w:r>
    </w:p>
    <w:p>
      <w:pPr>
        <w:pStyle w:val="ListParagraph"/>
        <w:numPr>
          <w:ilvl w:val="0"/>
          <w:numId w:val="2"/>
        </w:numPr>
        <w:spacing w:after="50"/>
      </w:pPr>
      <w:r>
        <w:rPr>
          <w:rFonts w:ascii="Times New Roman" w:cs="Times New Roman" w:eastAsia="Times New Roman" w:hAnsi="Times New Roman"/>
          <w:b/>
          <w:bCs/>
          <w:sz w:val="22"/>
          <w:szCs w:val="22"/>
        </w:rPr>
        <w:t xml:space="preserve">Dùng tiêu chí khách quan</w:t>
      </w:r>
      <w:r>
        <w:rPr>
          <w:rFonts w:ascii="Times New Roman" w:cs="Times New Roman" w:eastAsia="Times New Roman" w:hAnsi="Times New Roman"/>
          <w:sz w:val="22"/>
          <w:szCs w:val="22"/>
        </w:rPr>
        <w:t xml:space="preserve"> thay cho tranh luận lập trường: định mức hao hụt, điều khoản HĐ thầu chính, thông lệ thông báo khiếu nại (FIDIC: 28 ngày), số học tiến độ (khoảng 278 m tường vây với năng suất 2,8 md/ngày).</w:t>
      </w:r>
    </w:p>
    <w:p>
      <w:pPr>
        <w:pStyle w:val="ListParagraph"/>
        <w:numPr>
          <w:ilvl w:val="0"/>
          <w:numId w:val="2"/>
        </w:numPr>
        <w:spacing w:after="50"/>
      </w:pPr>
      <w:r>
        <w:rPr>
          <w:rFonts w:ascii="Times New Roman" w:cs="Times New Roman" w:eastAsia="Times New Roman" w:hAnsi="Times New Roman"/>
          <w:b/>
          <w:bCs/>
          <w:sz w:val="22"/>
          <w:szCs w:val="22"/>
        </w:rPr>
        <w:t xml:space="preserve">Đòn bẩy của A:</w:t>
      </w:r>
      <w:r>
        <w:rPr>
          <w:rFonts w:ascii="Times New Roman" w:cs="Times New Roman" w:eastAsia="Times New Roman" w:hAnsi="Times New Roman"/>
          <w:sz w:val="22"/>
          <w:szCs w:val="22"/>
        </w:rPr>
        <w:t xml:space="preserve"> LOA đã nêu thời hạn ký HĐ và quyền chọn nhà thầu khác; tạm ứng 20% (khoảng 11,3 tỷ) là lợi ích lớn với B; khối lượng thực tế và thanh toán do A xác nhận.</w:t>
      </w:r>
    </w:p>
    <w:p>
      <w:pPr>
        <w:pStyle w:val="Heading2"/>
        <w:spacing w:after="80" w:before="160"/>
      </w:pPr>
      <w:r>
        <w:rPr>
          <w:rFonts w:ascii="Times New Roman" w:cs="Times New Roman" w:eastAsia="Times New Roman" w:hAnsi="Times New Roman"/>
          <w:b/>
          <w:bCs/>
          <w:sz w:val="24"/>
          <w:szCs w:val="24"/>
        </w:rPr>
        <w:t xml:space="preserve">F.2. Phân nhóm điểm đàm phán</w:t>
      </w:r>
    </w:p>
    <w:p>
      <w:pPr>
        <w:pStyle w:val="ListParagraph"/>
        <w:numPr>
          <w:ilvl w:val="0"/>
          <w:numId w:val="2"/>
        </w:numPr>
        <w:spacing w:after="50"/>
      </w:pPr>
      <w:r>
        <w:rPr>
          <w:rFonts w:ascii="Times New Roman" w:cs="Times New Roman" w:eastAsia="Times New Roman" w:hAnsi="Times New Roman"/>
          <w:b/>
          <w:bCs/>
          <w:sz w:val="22"/>
          <w:szCs w:val="22"/>
        </w:rPr>
        <w:t xml:space="preserve">Nhóm 1 – Không nhượng:</w:t>
      </w:r>
      <w:r>
        <w:rPr>
          <w:rFonts w:ascii="Times New Roman" w:cs="Times New Roman" w:eastAsia="Times New Roman" w:hAnsi="Times New Roman"/>
          <w:sz w:val="22"/>
          <w:szCs w:val="22"/>
        </w:rPr>
        <w:t xml:space="preserve"> 1.18 phạm vi; nạo vét bùn ao trong gói 5.1; 13.3 và 13.1a; đoạn mở đầu Điều 18 (phạt không loại trừ bồi thường, chuyển tiếp phạt của CĐT); định nghĩa 18.3 và điền tiến độ, mốc; 19.1e; quyền khấu trừ 3.5; số liệu Biểu 01.</w:t>
      </w:r>
    </w:p>
    <w:p>
      <w:pPr>
        <w:pStyle w:val="ListParagraph"/>
        <w:numPr>
          <w:ilvl w:val="0"/>
          <w:numId w:val="2"/>
        </w:numPr>
        <w:spacing w:after="50"/>
      </w:pPr>
      <w:r>
        <w:rPr>
          <w:rFonts w:ascii="Times New Roman" w:cs="Times New Roman" w:eastAsia="Times New Roman" w:hAnsi="Times New Roman"/>
          <w:b/>
          <w:bCs/>
          <w:sz w:val="22"/>
          <w:szCs w:val="22"/>
        </w:rPr>
        <w:t xml:space="preserve">Nhóm 2 – Trao đổi có điều kiện:</w:t>
      </w:r>
      <w:r>
        <w:rPr>
          <w:rFonts w:ascii="Times New Roman" w:cs="Times New Roman" w:eastAsia="Times New Roman" w:hAnsi="Times New Roman"/>
          <w:sz w:val="22"/>
          <w:szCs w:val="22"/>
        </w:rPr>
        <w:t xml:space="preserve"> danh sách loại trừ tại 7.3a; chờ việc 7.3d, 11.2h; 15.1; 17.1(ii) và 17.2c; 18.4; thời hạn duyệt hồ sơ 10.3.2f; dây chuyền tường vây; máy phát điện; hao hụt tường dẫn; thời hạn gia hạn bảo lãnh.</w:t>
      </w:r>
    </w:p>
    <w:p>
      <w:pPr>
        <w:pStyle w:val="ListParagraph"/>
        <w:numPr>
          <w:ilvl w:val="0"/>
          <w:numId w:val="2"/>
        </w:numPr>
        <w:spacing w:after="50"/>
      </w:pPr>
      <w:r>
        <w:rPr>
          <w:rFonts w:ascii="Times New Roman" w:cs="Times New Roman" w:eastAsia="Times New Roman" w:hAnsi="Times New Roman"/>
          <w:b/>
          <w:bCs/>
          <w:sz w:val="22"/>
          <w:szCs w:val="22"/>
        </w:rPr>
        <w:t xml:space="preserve">Nhóm 3 – Có thể nhượng để lấy thiện chí:</w:t>
      </w:r>
      <w:r>
        <w:rPr>
          <w:rFonts w:ascii="Times New Roman" w:cs="Times New Roman" w:eastAsia="Times New Roman" w:hAnsi="Times New Roman"/>
          <w:sz w:val="22"/>
          <w:szCs w:val="22"/>
        </w:rPr>
        <w:t xml:space="preserve"> câu chữ, chính tả; 07 hay 08 ngày đề nghị vật tư từng đợt; “ký duyệt”; thủ tục báo trước tại 18.5; phạt chấm dứt 5% hai chiều (18.6); bảo lãnh tạm ứng thêm 10 ngày.</w:t>
      </w:r>
    </w:p>
    <w:p>
      <w:pPr>
        <w:pStyle w:val="Heading2"/>
        <w:spacing w:after="80" w:before="160"/>
      </w:pPr>
      <w:r>
        <w:rPr>
          <w:rFonts w:ascii="Times New Roman" w:cs="Times New Roman" w:eastAsia="Times New Roman" w:hAnsi="Times New Roman"/>
          <w:b/>
          <w:bCs/>
          <w:sz w:val="24"/>
          <w:szCs w:val="24"/>
        </w:rPr>
        <w:t xml:space="preserve">F.3. Đề xuất mở đầu, phương án lùi và giới hạn cuối</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450"/>
        <w:gridCol w:w="2300"/>
        <w:gridCol w:w="4000"/>
        <w:gridCol w:w="4000"/>
        <w:gridCol w:w="4388"/>
      </w:tblGrid>
      <w:tr>
        <w:trPr>
          <w:tblHeader/>
        </w:trPr>
        <w:tc>
          <w:tcPr>
            <w:tcW w:type="dxa" w:w="45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TT</w:t>
            </w:r>
          </w:p>
        </w:tc>
        <w:tc>
          <w:tcPr>
            <w:tcW w:type="dxa" w:w="230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Điểm đàm phán</w:t>
            </w:r>
          </w:p>
        </w:tc>
        <w:tc>
          <w:tcPr>
            <w:tcW w:type="dxa" w:w="400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Đề xuất mở đầu (A)</w:t>
            </w:r>
          </w:p>
        </w:tc>
        <w:tc>
          <w:tcPr>
            <w:tcW w:type="dxa" w:w="4000"/>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Phương án lùi</w:t>
            </w:r>
          </w:p>
        </w:tc>
        <w:tc>
          <w:tcPr>
            <w:tcW w:type="dxa" w:w="4388"/>
            <w:shd w:fill="D9E2F3" w:color="auto" w:val="clear"/>
            <w:tcMar>
              <w:top w:type="dxa" w:w="50"/>
              <w:left w:type="dxa" w:w="80"/>
              <w:bottom w:type="dxa" w:w="50"/>
              <w:right w:type="dxa" w:w="80"/>
            </w:tcMar>
            <w:vAlign w:val="top"/>
          </w:tcPr>
          <w:p>
            <w:pPr>
              <w:spacing w:after="40"/>
              <w:jc w:val="center"/>
            </w:pPr>
            <w:r>
              <w:rPr>
                <w:rFonts w:ascii="Times New Roman" w:cs="Times New Roman" w:eastAsia="Times New Roman" w:hAnsi="Times New Roman"/>
                <w:b/>
                <w:bCs/>
                <w:sz w:val="20"/>
                <w:szCs w:val="20"/>
              </w:rPr>
              <w:t xml:space="preserve">Giới hạn cuối (không nhượng)</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w:t>
            </w:r>
          </w:p>
        </w:tc>
        <w:tc>
          <w:tcPr>
            <w:tcW w:type="dxa" w:w="23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Phạm vi 1.18 và nạo vét bùn ao</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Bản đề xuất ở D.1; nạo vét đã gồm trong gói 5.1</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Tách khối lượng nạo vét bùn, áp đơn giá và giảm giá gói 5.1 tương ứng</w:t>
            </w:r>
          </w:p>
        </w:tc>
        <w:tc>
          <w:tcPr>
            <w:tcW w:type="dxa" w:w="43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Tường vây phải nằm trong định nghĩa Hạng mục công trình</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2</w:t>
            </w:r>
          </w:p>
        </w:tc>
        <w:tc>
          <w:tcPr>
            <w:tcW w:type="dxa" w:w="23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Phạt chậm 18.3</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1%/ngày × giá trị mốc chậm; trần theo mức pháp luật cho phép; giữ bồi thường và chuyển tiếp phạt của CĐT</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0,5%/ngày, trần 10%, nhưng vẫn giữ bồi thường và chuyển tiếp phạt của CĐT</w:t>
            </w:r>
          </w:p>
        </w:tc>
        <w:tc>
          <w:tcPr>
            <w:tcW w:type="dxa" w:w="43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Không bỏ quyền bồi thường và quyền chuyển tiếp khoản CĐT phạt A do lỗi B</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3</w:t>
            </w:r>
          </w:p>
        </w:tc>
        <w:tc>
          <w:tcPr>
            <w:tcW w:type="dxa" w:w="23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Phát sinh 13.1a và 13.3</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Khôi phục 13.3 nguyên bản; sửa 13.1a</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13.3 rút gọn theo D.2 (biện pháp của B; thay đổi trong phạm vi tiêu chuẩn; khối lượng có đơn giá)</w:t>
            </w:r>
          </w:p>
        </w:tc>
        <w:tc>
          <w:tcPr>
            <w:tcW w:type="dxa" w:w="43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Khối lượng tăng giảm thanh toán theo đơn giá HĐ; phát sinh phải có văn bản của A trước khi thực hiện</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4</w:t>
            </w:r>
          </w:p>
        </w:tc>
        <w:tc>
          <w:tcPr>
            <w:tcW w:type="dxa" w:w="23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Quyết toán 19.1e</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Xóa điều khoản</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Giữ, nhưng giữ thêm 5% hoặc duy trì bảo lãnh đến khi nghiệm thu đầu cọc và tường vây</w:t>
            </w:r>
          </w:p>
        </w:tc>
        <w:tc>
          <w:tcPr>
            <w:tcW w:type="dxa" w:w="43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 vẫn phải xử lý phình, thấm, khuyết tật sau quyết toán</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5</w:t>
            </w:r>
          </w:p>
        </w:tc>
        <w:tc>
          <w:tcPr>
            <w:tcW w:type="dxa" w:w="23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Chờ việc 7.3d và 11.2h</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Xóa (15.1c đã điều chỉnh)</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Đơn giá chờ việc, thông báo trong 24 giờ, trần 2% giá trị HĐ</w:t>
            </w:r>
          </w:p>
        </w:tc>
        <w:tc>
          <w:tcPr>
            <w:tcW w:type="dxa" w:w="43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Không bồi thường “toàn bộ chi phí” không trần</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6</w:t>
            </w:r>
          </w:p>
        </w:tc>
        <w:tc>
          <w:tcPr>
            <w:tcW w:type="dxa" w:w="23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Khấu trừ 3.5</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Câu chữ D.5</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Giữ thủ tục đối chiếu, nhưng 05 ngày làm việc không phản hồi thì coi như đồng ý</w:t>
            </w:r>
          </w:p>
        </w:tc>
        <w:tc>
          <w:tcPr>
            <w:tcW w:type="dxa" w:w="43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A được tạm khấu trừ khi cần xử lý khẩn cấp</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7</w:t>
            </w:r>
          </w:p>
        </w:tc>
        <w:tc>
          <w:tcPr>
            <w:tcW w:type="dxa" w:w="23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Tạm dừng, chấm dứt bởi B (17.1(ii), 17.2c)</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Xóa 17.1(ii)</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Chậm thanh toán khoản không tranh chấp quá 30 ngày, báo trước 14 ngày; chấm dứt sau 60/90 ngày</w:t>
            </w:r>
          </w:p>
        </w:tc>
        <w:tc>
          <w:tcPr>
            <w:tcW w:type="dxa" w:w="43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Không cho B tạm dừng vì chậm mặt bằng hoặc thiết kế</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8</w:t>
            </w:r>
          </w:p>
        </w:tc>
        <w:tc>
          <w:tcPr>
            <w:tcW w:type="dxa" w:w="23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Dây chuyền tường vây</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02 dây chuyền</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01 dây chuyền và dây chuyền thứ 2 trong 07 ngày nếu thiếu năng suất</w:t>
            </w:r>
          </w:p>
        </w:tc>
        <w:tc>
          <w:tcPr>
            <w:tcW w:type="dxa" w:w="43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Có mốc tường vây chịu phạt</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9</w:t>
            </w:r>
          </w:p>
        </w:tc>
        <w:tc>
          <w:tcPr>
            <w:tcW w:type="dxa" w:w="23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Máy phát điện cọc TN</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 cấp và chịu chi phí (như bản gốc)</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B cấp; A trả ca máy theo đơn giá thống nhất</w:t>
            </w:r>
          </w:p>
        </w:tc>
        <w:tc>
          <w:tcPr>
            <w:tcW w:type="dxa" w:w="43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Không tính chờ việc nếu máy phát được huy động trong 24 giờ</w:t>
            </w:r>
          </w:p>
        </w:tc>
      </w:tr>
      <w:tr>
        <w:trPr>
          <w:cantSplit/>
        </w:trPr>
        <w:tc>
          <w:tcPr>
            <w:tcW w:type="dxa" w:w="450"/>
            <w:tcMar>
              <w:top w:type="dxa" w:w="50"/>
              <w:left w:type="dxa" w:w="80"/>
              <w:bottom w:type="dxa" w:w="50"/>
              <w:right w:type="dxa" w:w="80"/>
            </w:tcMar>
            <w:vAlign w:val="top"/>
          </w:tcPr>
          <w:p>
            <w:pPr>
              <w:spacing w:after="40"/>
              <w:jc w:val="center"/>
            </w:pPr>
            <w:r>
              <w:rPr>
                <w:rFonts w:ascii="Times New Roman" w:cs="Times New Roman" w:eastAsia="Times New Roman" w:hAnsi="Times New Roman"/>
                <w:b w:val="false"/>
                <w:bCs w:val="false"/>
                <w:sz w:val="20"/>
                <w:szCs w:val="20"/>
              </w:rPr>
              <w:t xml:space="preserve">10</w:t>
            </w:r>
          </w:p>
        </w:tc>
        <w:tc>
          <w:tcPr>
            <w:tcW w:type="dxa" w:w="23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Hao hụt tường dẫn</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Theo định mức (≤3–5%)</w:t>
            </w:r>
          </w:p>
        </w:tc>
        <w:tc>
          <w:tcPr>
            <w:tcW w:type="dxa" w:w="4000"/>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10%</w:t>
            </w:r>
          </w:p>
        </w:tc>
        <w:tc>
          <w:tcPr>
            <w:tcW w:type="dxa" w:w="4388"/>
            <w:tcMar>
              <w:top w:type="dxa" w:w="50"/>
              <w:left w:type="dxa" w:w="80"/>
              <w:bottom w:type="dxa" w:w="50"/>
              <w:right w:type="dxa" w:w="80"/>
            </w:tcMar>
            <w:vAlign w:val="top"/>
          </w:tcPr>
          <w:p>
            <w:pPr>
              <w:spacing w:after="40"/>
            </w:pPr>
            <w:r>
              <w:rPr>
                <w:rFonts w:ascii="Times New Roman" w:cs="Times New Roman" w:eastAsia="Times New Roman" w:hAnsi="Times New Roman"/>
                <w:b w:val="false"/>
                <w:bCs w:val="false"/>
                <w:sz w:val="20"/>
                <w:szCs w:val="20"/>
              </w:rPr>
              <w:t xml:space="preserve">Không vượt mức A được CĐT chấp nhận</w:t>
            </w:r>
          </w:p>
        </w:tc>
      </w:tr>
    </w:tbl>
    <w:p>
      <w:pPr>
        <w:pStyle w:val="Heading2"/>
        <w:spacing w:after="80" w:before="160"/>
      </w:pPr>
      <w:r>
        <w:rPr>
          <w:rFonts w:ascii="Times New Roman" w:cs="Times New Roman" w:eastAsia="Times New Roman" w:hAnsi="Times New Roman"/>
          <w:b/>
          <w:bCs/>
          <w:sz w:val="24"/>
          <w:szCs w:val="24"/>
        </w:rPr>
        <w:t xml:space="preserve">F.4. Trình tự buổi đàm phán</w:t>
      </w:r>
    </w:p>
    <w:p>
      <w:pPr>
        <w:pStyle w:val="ListParagraph"/>
        <w:numPr>
          <w:ilvl w:val="0"/>
          <w:numId w:val="2"/>
        </w:numPr>
        <w:spacing w:after="50"/>
      </w:pPr>
      <w:r>
        <w:rPr>
          <w:rFonts w:ascii="Times New Roman" w:cs="Times New Roman" w:eastAsia="Times New Roman" w:hAnsi="Times New Roman"/>
          <w:b/>
          <w:bCs/>
          <w:sz w:val="22"/>
          <w:szCs w:val="22"/>
        </w:rPr>
        <w:t xml:space="preserve">Bước 1 – Phạm vi và giá:</w:t>
      </w:r>
      <w:r>
        <w:rPr>
          <w:rFonts w:ascii="Times New Roman" w:cs="Times New Roman" w:eastAsia="Times New Roman" w:hAnsi="Times New Roman"/>
          <w:sz w:val="22"/>
          <w:szCs w:val="22"/>
        </w:rPr>
        <w:t xml:space="preserve"> 1.18, Biểu 01 (sửa số), nạo vét bùn ao, hàng rào, máy phát, mục 4 Bơm vữa. Chốt bằng biên bản.</w:t>
      </w:r>
    </w:p>
    <w:p>
      <w:pPr>
        <w:pStyle w:val="ListParagraph"/>
        <w:numPr>
          <w:ilvl w:val="0"/>
          <w:numId w:val="2"/>
        </w:numPr>
        <w:spacing w:after="50"/>
      </w:pPr>
      <w:r>
        <w:rPr>
          <w:rFonts w:ascii="Times New Roman" w:cs="Times New Roman" w:eastAsia="Times New Roman" w:hAnsi="Times New Roman"/>
          <w:b/>
          <w:bCs/>
          <w:sz w:val="22"/>
          <w:szCs w:val="22"/>
        </w:rPr>
        <w:t xml:space="preserve">Bước 2 – Xác nhận các điểm đã thống nhất:</w:t>
      </w:r>
      <w:r>
        <w:rPr>
          <w:rFonts w:ascii="Times New Roman" w:cs="Times New Roman" w:eastAsia="Times New Roman" w:hAnsi="Times New Roman"/>
          <w:sz w:val="22"/>
          <w:szCs w:val="22"/>
        </w:rPr>
        <w:t xml:space="preserve"> 8 điểm có lợi trong bản HQ view và toàn bộ phần câu chữ.</w:t>
      </w:r>
    </w:p>
    <w:p>
      <w:pPr>
        <w:pStyle w:val="ListParagraph"/>
        <w:numPr>
          <w:ilvl w:val="0"/>
          <w:numId w:val="2"/>
        </w:numPr>
        <w:spacing w:after="50"/>
      </w:pPr>
      <w:r>
        <w:rPr>
          <w:rFonts w:ascii="Times New Roman" w:cs="Times New Roman" w:eastAsia="Times New Roman" w:hAnsi="Times New Roman"/>
          <w:b/>
          <w:bCs/>
          <w:sz w:val="22"/>
          <w:szCs w:val="22"/>
        </w:rPr>
        <w:t xml:space="preserve">Bước 3 – Tiến độ và phạt:</w:t>
      </w:r>
      <w:r>
        <w:rPr>
          <w:rFonts w:ascii="Times New Roman" w:cs="Times New Roman" w:eastAsia="Times New Roman" w:hAnsi="Times New Roman"/>
          <w:sz w:val="22"/>
          <w:szCs w:val="22"/>
        </w:rPr>
        <w:t xml:space="preserve"> điền tổng tiến độ và mốc; 18.3; 7.3a cùng cơ chế thông báo; dây chuyền tường vây.</w:t>
      </w:r>
    </w:p>
    <w:p>
      <w:pPr>
        <w:pStyle w:val="ListParagraph"/>
        <w:numPr>
          <w:ilvl w:val="0"/>
          <w:numId w:val="2"/>
        </w:numPr>
        <w:spacing w:after="50"/>
      </w:pPr>
      <w:r>
        <w:rPr>
          <w:rFonts w:ascii="Times New Roman" w:cs="Times New Roman" w:eastAsia="Times New Roman" w:hAnsi="Times New Roman"/>
          <w:b/>
          <w:bCs/>
          <w:sz w:val="22"/>
          <w:szCs w:val="22"/>
        </w:rPr>
        <w:t xml:space="preserve">Bước 4 – Phát sinh và khấu trừ:</w:t>
      </w:r>
      <w:r>
        <w:rPr>
          <w:rFonts w:ascii="Times New Roman" w:cs="Times New Roman" w:eastAsia="Times New Roman" w:hAnsi="Times New Roman"/>
          <w:sz w:val="22"/>
          <w:szCs w:val="22"/>
        </w:rPr>
        <w:t xml:space="preserve"> 13.1a, 13.3, 3.5, 4.3, đoạn mở đầu Điều 18.</w:t>
      </w:r>
    </w:p>
    <w:p>
      <w:pPr>
        <w:pStyle w:val="ListParagraph"/>
        <w:numPr>
          <w:ilvl w:val="0"/>
          <w:numId w:val="2"/>
        </w:numPr>
        <w:spacing w:after="50"/>
      </w:pPr>
      <w:r>
        <w:rPr>
          <w:rFonts w:ascii="Times New Roman" w:cs="Times New Roman" w:eastAsia="Times New Roman" w:hAnsi="Times New Roman"/>
          <w:b/>
          <w:bCs/>
          <w:sz w:val="22"/>
          <w:szCs w:val="22"/>
        </w:rPr>
        <w:t xml:space="preserve">Bước 5 – Thanh toán và quyết toán:</w:t>
      </w:r>
      <w:r>
        <w:rPr>
          <w:rFonts w:ascii="Times New Roman" w:cs="Times New Roman" w:eastAsia="Times New Roman" w:hAnsi="Times New Roman"/>
          <w:sz w:val="22"/>
          <w:szCs w:val="22"/>
        </w:rPr>
        <w:t xml:space="preserve"> 7.3d, 10.3.2f, 17.1(ii), 17.2c, 19.1e, 8.2 back-to-back.</w:t>
      </w:r>
    </w:p>
    <w:p>
      <w:pPr>
        <w:pStyle w:val="ListParagraph"/>
        <w:numPr>
          <w:ilvl w:val="0"/>
          <w:numId w:val="2"/>
        </w:numPr>
        <w:spacing w:after="50"/>
      </w:pPr>
      <w:r>
        <w:rPr>
          <w:rFonts w:ascii="Times New Roman" w:cs="Times New Roman" w:eastAsia="Times New Roman" w:hAnsi="Times New Roman"/>
          <w:b/>
          <w:bCs/>
          <w:sz w:val="22"/>
          <w:szCs w:val="22"/>
        </w:rPr>
        <w:t xml:space="preserve">Quản lý văn bản:</w:t>
      </w:r>
      <w:r>
        <w:rPr>
          <w:rFonts w:ascii="Times New Roman" w:cs="Times New Roman" w:eastAsia="Times New Roman" w:hAnsi="Times New Roman"/>
          <w:sz w:val="22"/>
          <w:szCs w:val="22"/>
        </w:rPr>
        <w:t xml:space="preserve"> phát hành bản R2 có track changes do A kiểm soát; mỗi điểm ghi rõ trạng thái (Đã chốt / Còn mở / Chuyển lãnh đạo). Đặt hạn chót ký theo LOA. Chỉ cấp có thẩm quyền mới được nhượng các điểm Nhóm 1.</w:t>
      </w:r>
    </w:p>
    <w:p>
      <w:pPr>
        <w:pStyle w:val="Heading1"/>
        <w:spacing w:after="120" w:before="240"/>
      </w:pPr>
      <w:r>
        <w:rPr>
          <w:rFonts w:ascii="Times New Roman" w:cs="Times New Roman" w:eastAsia="Times New Roman" w:hAnsi="Times New Roman"/>
          <w:b/>
          <w:bCs/>
          <w:sz w:val="28"/>
          <w:szCs w:val="28"/>
        </w:rPr>
        <w:t xml:space="preserve">G. LƯU Ý PHÁP LÝ</w:t>
      </w:r>
    </w:p>
    <w:p>
      <w:pPr>
        <w:pStyle w:val="ListParagraph"/>
        <w:numPr>
          <w:ilvl w:val="0"/>
          <w:numId w:val="2"/>
        </w:numPr>
        <w:spacing w:after="50"/>
      </w:pPr>
      <w:r>
        <w:rPr>
          <w:rFonts w:ascii="Times New Roman" w:cs="Times New Roman" w:eastAsia="Times New Roman" w:hAnsi="Times New Roman"/>
          <w:b/>
          <w:bCs/>
          <w:sz w:val="22"/>
          <w:szCs w:val="22"/>
        </w:rPr>
        <w:t xml:space="preserve">Mức phạt tối đa:</w:t>
      </w:r>
      <w:r>
        <w:rPr>
          <w:rFonts w:ascii="Times New Roman" w:cs="Times New Roman" w:eastAsia="Times New Roman" w:hAnsi="Times New Roman"/>
          <w:sz w:val="22"/>
          <w:szCs w:val="22"/>
        </w:rPr>
        <w:t xml:space="preserve"> Luật Thương mại 2005 (Điều 301) giới hạn phạt ở 8% giá trị phần nghĩa vụ bị vi phạm. Pháp luật xây dựng quy định mức 12% đối với hợp đồng xây dựng sử dụng vốn nhà nước. Pháp chế cần xác nhận khung áp dụng cho hợp đồng này theo Luật Xây dựng số 135/2025/QH15 và văn bản hướng dẫn trước khi chốt mức trần tại 18.3. Trần 10% hiện tại có thể bị tòa giảm nếu áp dụng khung 8%.</w:t>
      </w:r>
    </w:p>
    <w:p>
      <w:pPr>
        <w:pStyle w:val="ListParagraph"/>
        <w:numPr>
          <w:ilvl w:val="0"/>
          <w:numId w:val="2"/>
        </w:numPr>
        <w:spacing w:after="50"/>
      </w:pPr>
      <w:r>
        <w:rPr>
          <w:rFonts w:ascii="Times New Roman" w:cs="Times New Roman" w:eastAsia="Times New Roman" w:hAnsi="Times New Roman"/>
          <w:b/>
          <w:bCs/>
          <w:sz w:val="22"/>
          <w:szCs w:val="22"/>
        </w:rPr>
        <w:t xml:space="preserve">Phạt kèm bồi thường:</w:t>
      </w:r>
      <w:r>
        <w:rPr>
          <w:rFonts w:ascii="Times New Roman" w:cs="Times New Roman" w:eastAsia="Times New Roman" w:hAnsi="Times New Roman"/>
          <w:sz w:val="22"/>
          <w:szCs w:val="22"/>
        </w:rPr>
        <w:t xml:space="preserve"> theo Luật Thương mại (Điều 307), bên bị vi phạm được áp dụng cả phạt vi phạm và bồi thường thiệt hại khi hợp đồng có thỏa thuận phạt. Vì vậy câu “không áp dụng đồng thời nhiều khoản phạt hoặc bồi thường” cần sửa để không tự từ bỏ quyền này.</w:t>
      </w:r>
    </w:p>
    <w:p>
      <w:pPr>
        <w:pStyle w:val="ListParagraph"/>
        <w:numPr>
          <w:ilvl w:val="0"/>
          <w:numId w:val="2"/>
        </w:numPr>
        <w:spacing w:after="50"/>
      </w:pPr>
      <w:r>
        <w:rPr>
          <w:rFonts w:ascii="Times New Roman" w:cs="Times New Roman" w:eastAsia="Times New Roman" w:hAnsi="Times New Roman"/>
          <w:sz w:val="22"/>
          <w:szCs w:val="22"/>
        </w:rPr>
        <w:t xml:space="preserve">Các căn cứ pháp lý tại phần mở đầu HĐ (NĐ 37/2015, NĐ 50/2021) nên được pháp chế rà lại theo văn bản hiện hành về hợp đồng xây dựng.</w:t>
      </w:r>
    </w:p>
    <w:p>
      <w:pPr>
        <w:pStyle w:val="ListParagraph"/>
        <w:numPr>
          <w:ilvl w:val="0"/>
          <w:numId w:val="2"/>
        </w:numPr>
        <w:spacing w:after="50"/>
      </w:pPr>
      <w:r>
        <w:rPr>
          <w:rFonts w:ascii="Times New Roman" w:cs="Times New Roman" w:eastAsia="Times New Roman" w:hAnsi="Times New Roman"/>
          <w:sz w:val="22"/>
          <w:szCs w:val="22"/>
        </w:rPr>
        <w:t xml:space="preserve">Báo cáo này được lập từ việc đối chiếu hai file .docx do Bên A cung cấp. Báo cáo không thay thế ý kiến pháp lý chính thức. Các mức đề xuất (2% trần chờ việc, 5% giữ lại, ≤3–5% hao hụt tường dẫn, mức phạt hồ sơ) là đề xuất đàm phán, cần đối chiếu với HĐ thầu chính.</w:t>
      </w:r>
    </w:p>
    <w:sectPr>
      <w:pgSz w:w="16838" w:h="11906" w:orient="landscape"/>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2026-10-27T04:07:24.512Z</dcterms:created>
  <dcterms:modified xsi:type="dcterms:W3CDTF">2026-10-27T04:07:24.512Z</dcterms:modified>
</cp:coreProperties>
</file>

<file path=docProps/custom.xml><?xml version="1.0" encoding="utf-8"?>
<Properties xmlns="http://schemas.openxmlformats.org/officeDocument/2006/custom-properties" xmlns:vt="http://schemas.openxmlformats.org/officeDocument/2006/docPropsVTypes"/>
</file>