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5080" distB="5080" distL="5080" distR="508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5715" distB="5080" distL="5080" distR="5715"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rPr>
        <w:t>- Căn cứ Hợp đồng tổng thầu thi công xây dựng số 01/2026/HĐTTXL/LDIFT-TP &amp; LD VNCNEC-VH ngày 16/7/2026 giữa Chủ đầu tư và Liên danh VNCN E&amp;C –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8"/>
        <w:gridCol w:w="313"/>
        <w:gridCol w:w="2982"/>
        <w:gridCol w:w="631"/>
        <w:gridCol w:w="1109"/>
        <w:gridCol w:w="2809"/>
      </w:tblGrid>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3918" w:type="dxa"/>
            <w:gridSpan w:val="2"/>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10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80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2"/>
        <w:gridCol w:w="292"/>
        <w:gridCol w:w="3146"/>
        <w:gridCol w:w="439"/>
        <w:gridCol w:w="1511"/>
        <w:gridCol w:w="2269"/>
      </w:tblGrid>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51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26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72842163"/>
      <w:bookmarkStart w:id="1" w:name="_Toc273427126"/>
      <w:bookmarkStart w:id="2" w:name="_Toc181075467"/>
      <w:bookmarkStart w:id="3" w:name="_Toc269221776"/>
      <w:bookmarkStart w:id="4" w:name="_Toc283736554"/>
      <w:bookmarkStart w:id="5" w:name="_Toc283735875"/>
      <w:bookmarkStart w:id="6" w:name="_Toc179249784"/>
      <w:bookmarkStart w:id="7" w:name="_Toc180807089"/>
      <w:bookmarkStart w:id="8" w:name="_Toc283736673"/>
      <w:bookmarkStart w:id="9" w:name="_Toc183486575"/>
      <w:bookmarkStart w:id="10" w:name="_Toc181075441"/>
      <w:bookmarkStart w:id="11" w:name="_Toc183486577"/>
      <w:bookmarkStart w:id="12" w:name="_Toc283298425"/>
      <w:bookmarkStart w:id="13" w:name="_Toc273003007"/>
      <w:bookmarkStart w:id="14" w:name="_Toc272318672"/>
      <w:bookmarkStart w:id="15" w:name="_Toc269221361"/>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80807067"/>
      <w:bookmarkStart w:id="17" w:name="_Toc179249741"/>
      <w:bookmarkStart w:id="18" w:name="_Toc273427102"/>
      <w:bookmarkStart w:id="19" w:name="_Toc181075446"/>
      <w:r>
        <w:rPr>
          <w:rStyle w:val="StyleHeading3BoldCharCharCharCharCharCharCharCharCharCharCharCharCharCharChar"/>
          <w:rFonts w:ascii="Times New Roman" w:hAnsi="Times New Roman"/>
          <w:sz w:val="26"/>
          <w:szCs w:val="26"/>
          <w:lang w:val="nl-NL"/>
        </w:rPr>
        <w:t>1.1. Chủ đầu tư</w:t>
      </w:r>
      <w:bookmarkEnd w:id="16"/>
      <w:bookmarkEnd w:id="1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0" w:name="_Toc180807068"/>
      <w:bookmarkStart w:id="21" w:name="_Toc179249742"/>
      <w:r>
        <w:rPr>
          <w:rStyle w:val="StyleHeading3BoldCharCharCharCharCharCharCharCharCharCharCharCharCharCharChar"/>
          <w:rFonts w:ascii="Times New Roman" w:hAnsi="Times New Roman"/>
          <w:sz w:val="26"/>
          <w:szCs w:val="26"/>
          <w:lang w:val="nl-NL"/>
        </w:rPr>
        <w:t>1.2. Bên A</w:t>
      </w:r>
      <w:bookmarkEnd w:id="20"/>
      <w:bookmarkEnd w:id="21"/>
      <w:r>
        <w:rPr>
          <w:rStyle w:val="StyleHeading3BoldCharCharCharCharCharCharCharCharCharCharCharCharCharCharChar"/>
          <w:rFonts w:ascii="Times New Roman" w:hAnsi="Times New Roman"/>
          <w:sz w:val="26"/>
          <w:szCs w:val="26"/>
          <w:lang w:val="nl-NL"/>
        </w:rPr>
        <w:t xml:space="preserve"> </w:t>
      </w:r>
      <w:bookmarkStart w:id="22" w:name="_Toc179249743"/>
      <w:bookmarkStart w:id="23" w:name="_Toc273427103"/>
      <w:bookmarkStart w:id="24" w:name="_Toc181075447"/>
      <w:bookmarkStart w:id="25" w:name="_Toc180807069"/>
      <w:bookmarkEnd w:id="18"/>
      <w:bookmarkEnd w:id="19"/>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2"/>
      <w:bookmarkEnd w:id="23"/>
      <w:bookmarkEnd w:id="24"/>
      <w:bookmarkEnd w:id="2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6" w:name="_Toc181075450"/>
      <w:bookmarkStart w:id="27" w:name="_Toc180807072"/>
      <w:bookmarkStart w:id="28" w:name="_Toc273427104"/>
      <w:r>
        <w:rPr>
          <w:rStyle w:val="StyleHeading3BoldCharCharCharCharCharCharCharCharCharCharCharCharCharCharChar"/>
          <w:rFonts w:ascii="Times New Roman" w:hAnsi="Times New Roman"/>
          <w:sz w:val="26"/>
          <w:szCs w:val="26"/>
          <w:lang w:val="nl-NL" w:eastAsia="en-US"/>
        </w:rPr>
        <w:t>1.5. Đại diện Bên A</w:t>
      </w:r>
      <w:bookmarkEnd w:id="26"/>
      <w:bookmarkEnd w:id="27"/>
      <w:bookmarkEnd w:id="28"/>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29" w:name="_Toc273427107"/>
      <w:bookmarkStart w:id="30" w:name="_Toc179249744"/>
      <w:bookmarkEnd w:id="30"/>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29"/>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1" w:name="_Toc273427109"/>
      <w:bookmarkStart w:id="32" w:name="_Toc179249744_Copy_1"/>
      <w:bookmarkEnd w:id="32"/>
      <w:r>
        <w:rPr>
          <w:rStyle w:val="StyleHeading3BoldCharCharCharCharCharCharCharCharCharCharCharCharCharCharChar"/>
          <w:rFonts w:ascii="Times New Roman" w:hAnsi="Times New Roman"/>
          <w:sz w:val="26"/>
          <w:szCs w:val="26"/>
          <w:lang w:val="nl-NL" w:eastAsia="en-US"/>
        </w:rPr>
        <w:t xml:space="preserve">1.9. Dự án: </w:t>
      </w:r>
      <w:bookmarkEnd w:id="31"/>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3" w:name="_Toc179249737"/>
      <w:r>
        <w:rPr>
          <w:rStyle w:val="StyleHeading3BoldCharCharCharCharCharCharCharCharCharCharCharCharCharCharChar"/>
          <w:rFonts w:ascii="Times New Roman" w:hAnsi="Times New Roman"/>
          <w:sz w:val="26"/>
          <w:szCs w:val="26"/>
          <w:lang w:val="nl-NL" w:eastAsia="en-US"/>
        </w:rPr>
        <w:t>1.10. Hợp đồng</w:t>
      </w:r>
      <w:bookmarkEnd w:id="33"/>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1.13. Hợp đồng thầu chính: là Hợp đồng tổng thầu thi công xây dựng số 01/2026/HĐTTXL/LDIFT-TP &amp; LD VNCNEC-VH ngày </w:t>
      </w:r>
      <w:r>
        <w:rPr>
          <w:rStyle w:val="StyleHeading3BoldCharCharCharCharCharCharCharCharCharCharCharCharCharCharChar"/>
          <w:rFonts w:ascii="Times New Roman" w:hAnsi="Times New Roman"/>
          <w:sz w:val="26"/>
          <w:szCs w:val="26"/>
          <w:highlight w:val="yellow"/>
          <w:lang w:val="nl-NL" w:eastAsia="en-US"/>
        </w:rPr>
        <w:t>16/7/2026</w:t>
      </w:r>
      <w:r>
        <w:rPr>
          <w:rStyle w:val="StyleHeading3BoldCharCharCharCharCharCharCharCharCharCharCharCharCharCharChar"/>
          <w:rFonts w:ascii="Times New Roman" w:hAnsi="Times New Roman"/>
          <w:sz w:val="26"/>
          <w:szCs w:val="26"/>
          <w:lang w:val="nl-NL" w:eastAsia="en-US"/>
        </w:rPr>
        <w:t xml:space="preserve"> giữa Chủ đầu tư</w:t>
      </w:r>
      <w:r>
        <w:rPr>
          <w:rFonts w:ascii="Times New Roman" w:hAnsi="Times New Roman"/>
          <w:sz w:val="26"/>
          <w:szCs w:val="26"/>
          <w:lang w:val="nl-NL"/>
        </w:rPr>
        <w:t xml:space="preserve"> và Liên danh Công ty CP Đầu tư Xây dựng và Kỹ thuật VNCN E&amp;C – Công ty CP Xây dựng Hạ tầng và Thương mại Việt Hưng, trong đó Bên A là thành viên đứng đầu Liên danh (sau đây gọi là “Hợp đồng thầu chính”).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1.14.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4" w:name="_Toc179249752"/>
      <w:bookmarkStart w:id="35" w:name="_Toc180807077"/>
      <w:bookmarkStart w:id="36" w:name="_Toc181075455"/>
      <w:bookmarkStart w:id="37" w:name="_Toc273427113"/>
      <w:r>
        <w:rPr>
          <w:rStyle w:val="StyleHeading3BoldCharCharCharCharCharCharCharCharCharCharCharCharCharCharChar"/>
          <w:rFonts w:ascii="Times New Roman" w:hAnsi="Times New Roman"/>
          <w:sz w:val="26"/>
          <w:szCs w:val="26"/>
          <w:lang w:val="nl-NL"/>
        </w:rPr>
        <w:t>1.15. Biên bản nghiệm thu</w:t>
      </w:r>
      <w:bookmarkEnd w:id="34"/>
      <w:bookmarkEnd w:id="35"/>
      <w:bookmarkEnd w:id="36"/>
      <w:bookmarkEnd w:id="3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1.16. Ngày: </w:t>
      </w:r>
      <w:r>
        <w:rPr>
          <w:rStyle w:val="StyleHeading3BoldCharCharCharCharCharCharCharCharCharCharCharCharCharCharChar"/>
          <w:rFonts w:ascii="Times New Roman" w:hAnsi="Times New Roman"/>
          <w:b w:val="false"/>
          <w:bCs w:val="false"/>
          <w:sz w:val="26"/>
          <w:szCs w:val="26"/>
          <w:lang w:val="nl-NL"/>
        </w:rPr>
        <w:t>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38" w:name="_Toc179249765"/>
      <w:bookmarkStart w:id="39" w:name="_Toc179249782"/>
      <w:bookmarkStart w:id="40" w:name="_Toc181075457"/>
      <w:bookmarkStart w:id="41" w:name="_Toc273427115"/>
      <w:bookmarkStart w:id="42" w:name="_Toc180807079"/>
      <w:bookmarkEnd w:id="39"/>
      <w:r>
        <w:rPr>
          <w:rStyle w:val="StyleHeading3BoldCharCharCharCharCharCharCharCharCharCharCharCharCharCharChar"/>
          <w:rFonts w:ascii="Times New Roman" w:hAnsi="Times New Roman"/>
          <w:sz w:val="26"/>
          <w:szCs w:val="26"/>
          <w:lang w:val="nl-NL"/>
        </w:rPr>
        <w:t xml:space="preserve">1.17. Thiết bị của </w:t>
      </w:r>
      <w:bookmarkEnd w:id="38"/>
      <w:bookmarkEnd w:id="40"/>
      <w:bookmarkEnd w:id="41"/>
      <w:bookmarkEnd w:id="42"/>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3" w:name="_Toc180807083"/>
      <w:bookmarkStart w:id="44" w:name="_Toc273427119"/>
      <w:bookmarkStart w:id="45" w:name="_Toc181075461"/>
      <w:bookmarkStart w:id="46" w:name="_Toc179249775"/>
      <w:bookmarkEnd w:id="46"/>
      <w:r>
        <w:rPr>
          <w:rStyle w:val="StyleHeading3BoldCharCharCharCharCharCharCharCharCharCharCharCharCharCharChar"/>
          <w:rFonts w:ascii="Times New Roman" w:hAnsi="Times New Roman"/>
          <w:sz w:val="26"/>
          <w:szCs w:val="26"/>
          <w:lang w:val="nl-NL"/>
        </w:rPr>
        <w:t xml:space="preserve">1.18. Công trình: </w:t>
      </w:r>
      <w:bookmarkEnd w:id="43"/>
      <w:bookmarkEnd w:id="44"/>
      <w:bookmarkEnd w:id="45"/>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1.19. Hạng</w:t>
      </w:r>
      <w:r>
        <w:rPr>
          <w:rFonts w:ascii="Times New Roman" w:hAnsi="Times New Roman"/>
          <w:sz w:val="26"/>
          <w:szCs w:val="26"/>
          <w:lang w:val="nl-NL"/>
        </w:rPr>
        <w:t xml:space="preserve"> </w:t>
      </w:r>
      <w:r>
        <w:rPr>
          <w:rFonts w:ascii="Times New Roman" w:hAnsi="Times New Roman"/>
          <w:b/>
          <w:bCs/>
          <w:sz w:val="26"/>
          <w:szCs w:val="26"/>
          <w:lang w:val="nl-NL"/>
        </w:rPr>
        <w:t>mục công trình:</w:t>
      </w:r>
      <w:r>
        <w:rPr>
          <w:rFonts w:ascii="Times New Roman" w:hAnsi="Times New Roman"/>
          <w:b/>
          <w:bCs/>
          <w:sz w:val="26"/>
          <w:szCs w:val="26"/>
        </w:rPr>
        <w:t xml:space="preserve"> </w:t>
      </w:r>
      <w:r>
        <w:rPr>
          <w:rFonts w:ascii="Times New Roman" w:hAnsi="Times New Roman"/>
          <w:sz w:val="26"/>
          <w:szCs w:val="26"/>
          <w:lang w:val="nl-NL"/>
        </w:rPr>
        <w:t>là toàn bộ công việc thuộc Gói thầu</w:t>
      </w:r>
      <w:r>
        <w:rPr>
          <w:rFonts w:ascii="Times New Roman" w:hAnsi="Times New Roman"/>
          <w:sz w:val="26"/>
          <w:szCs w:val="26"/>
          <w:lang w:val="vi-VN"/>
        </w:rPr>
        <w:t>:</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rFonts w:ascii="Times New Roman" w:hAnsi="Times New Roman"/>
          <w:b/>
          <w:sz w:val="26"/>
          <w:szCs w:val="26"/>
          <w:lang w:val="nl-NL"/>
        </w:rPr>
      </w:pPr>
      <w:commentRangeStart w:id="1"/>
      <w:r>
        <w:rPr/>
        <w:commentReference w:id="0"/>
      </w:r>
      <w:commentRangeEnd w:id="1"/>
      <w:r>
        <w:commentReference w:id="1"/>
      </w:r>
      <w:r>
        <w:rPr/>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1.20. Nhà thầu khác: </w:t>
      </w:r>
      <w:r>
        <w:rPr>
          <w:rFonts w:ascii="Times New Roman" w:hAnsi="Times New Roman"/>
          <w:bCs/>
          <w:sz w:val="26"/>
          <w:szCs w:val="26"/>
          <w:lang w:val="nl-NL"/>
        </w:rPr>
        <w:t>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1.21. H</w:t>
      </w:r>
      <w:r>
        <w:rPr>
          <w:rStyle w:val="StyleHeading3BoldCharCharCharCharCharCharCharCharCharCharCharCharCharCharChar"/>
          <w:rFonts w:ascii="Times New Roman" w:hAnsi="Times New Roman"/>
          <w:sz w:val="26"/>
          <w:szCs w:val="26"/>
          <w:lang w:val="nl-NL"/>
        </w:rPr>
        <w:t>ồ sơ hoàn công hay hồ sơ hoàn thành công trình</w:t>
      </w:r>
      <w:r>
        <w:rPr>
          <w:rFonts w:ascii="Times New Roman" w:hAnsi="Times New Roman"/>
          <w:sz w:val="26"/>
          <w:szCs w:val="26"/>
          <w:lang w:val="nl-NL"/>
        </w:rPr>
        <w:t>: là tập hợp các hồ sơ, tài liệu có liên quan tới quá trình thi công xây dựng Công trình được lập theo quy định của pháp luật về xây dựng, hợp đồng thầu chính, Chủ đầu tư và cơ quan có thẩm quyền.</w:t>
      </w:r>
    </w:p>
    <w:p>
      <w:pPr>
        <w:pStyle w:val="Normal"/>
        <w:spacing w:lineRule="auto" w:line="276" w:before="0" w:after="120"/>
        <w:jc w:val="both"/>
        <w:rPr>
          <w:rFonts w:ascii="Times New Roman" w:hAnsi="Times New Roman"/>
          <w:b/>
          <w:sz w:val="26"/>
          <w:szCs w:val="26"/>
          <w:lang w:val="nl-NL"/>
        </w:rPr>
      </w:pPr>
      <w:bookmarkStart w:id="47" w:name="_Toc180807085"/>
      <w:bookmarkStart w:id="48" w:name="_Toc179249775_Copy_1"/>
      <w:bookmarkStart w:id="49" w:name="_Toc181075463"/>
      <w:bookmarkStart w:id="50" w:name="_Toc273427121"/>
      <w:bookmarkStart w:id="51" w:name="_Toc179249776"/>
      <w:bookmarkEnd w:id="48"/>
      <w:r>
        <w:rPr>
          <w:rStyle w:val="StyleHeading3BoldCharCharCharCharCharCharCharCharCharCharCharCharCharCharChar"/>
          <w:rFonts w:ascii="Times New Roman" w:hAnsi="Times New Roman"/>
          <w:sz w:val="26"/>
          <w:szCs w:val="26"/>
          <w:lang w:val="nl-NL"/>
        </w:rPr>
        <w:t>1.22. Rủi ro và bất khả kháng</w:t>
      </w:r>
      <w:bookmarkEnd w:id="47"/>
      <w:bookmarkEnd w:id="49"/>
      <w:bookmarkEnd w:id="50"/>
      <w:bookmarkEnd w:id="51"/>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2" w:name="_Toc273427122"/>
      <w:bookmarkStart w:id="53" w:name="_Toc181075464"/>
      <w:bookmarkStart w:id="54" w:name="_Toc180807086"/>
      <w:bookmarkStart w:id="55" w:name="_Toc179249777"/>
      <w:r>
        <w:rPr>
          <w:rStyle w:val="StyleHeading3BoldCharCharCharCharCharCharCharCharCharCharCharCharCharCharChar"/>
          <w:rFonts w:ascii="Times New Roman" w:hAnsi="Times New Roman"/>
          <w:sz w:val="26"/>
          <w:szCs w:val="26"/>
          <w:lang w:val="nl-NL"/>
        </w:rPr>
        <w:t>1.23. Luật</w:t>
      </w:r>
      <w:bookmarkEnd w:id="52"/>
      <w:bookmarkEnd w:id="53"/>
      <w:bookmarkEnd w:id="54"/>
      <w:bookmarkEnd w:id="5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6" w:name="_Toc273427123"/>
      <w:bookmarkStart w:id="57" w:name="_Toc181075465"/>
      <w:bookmarkStart w:id="58" w:name="_Toc180807087"/>
      <w:bookmarkStart w:id="59" w:name="_Toc179249779"/>
      <w:r>
        <w:rPr>
          <w:rStyle w:val="StyleHeading3BoldCharCharCharCharCharCharCharCharCharCharCharCharCharCharChar"/>
          <w:rFonts w:ascii="Times New Roman" w:hAnsi="Times New Roman"/>
          <w:sz w:val="26"/>
          <w:szCs w:val="26"/>
          <w:lang w:val="nl-NL"/>
        </w:rPr>
        <w:t>1.24. Công trường</w:t>
      </w:r>
      <w:bookmarkEnd w:id="56"/>
      <w:bookmarkEnd w:id="57"/>
      <w:bookmarkEnd w:id="58"/>
      <w:bookmarkEnd w:id="59"/>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khối nhà ở xã hội CT1.2 và CT2 (CT2.1, CT2.2 và CT2.3) Dự án NOXH Yên Sở được Bên A giao cho Bên B để thi công công trình.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1.25.</w:t>
      </w:r>
      <w:r>
        <w:rPr>
          <w:rFonts w:ascii="Times New Roman" w:hAnsi="Times New Roman"/>
          <w:sz w:val="26"/>
          <w:szCs w:val="26"/>
          <w:lang w:val="nl-NL"/>
        </w:rPr>
        <w:t xml:space="preserve"> Các từ ngữ khác chưa được định nghĩa ở Điều này sẽ được hiểu theo định nghĩa trong Hợp đồng thầu chính, 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0" w:name="_Toc269221776_Copy_1"/>
      <w:bookmarkStart w:id="61" w:name="_Toc179249784_Copy_1"/>
      <w:bookmarkStart w:id="62" w:name="_Toc272842163_Copy_1"/>
      <w:bookmarkStart w:id="63" w:name="_Toc180807089_Copy_1"/>
      <w:bookmarkStart w:id="64" w:name="_Toc283735875_Copy_1"/>
      <w:bookmarkStart w:id="65" w:name="_Toc181075467_Copy_1"/>
      <w:bookmarkStart w:id="66" w:name="_Toc273003007_Copy_1"/>
      <w:bookmarkStart w:id="67" w:name="_Toc283298425_Copy_1"/>
      <w:bookmarkStart w:id="68" w:name="_Toc272318672_Copy_1"/>
      <w:bookmarkStart w:id="69" w:name="_Toc283736673_Copy_1"/>
      <w:bookmarkStart w:id="70" w:name="_Toc181075441_Copy_1"/>
      <w:bookmarkStart w:id="71" w:name="_Toc179249782_Copy_1"/>
      <w:bookmarkStart w:id="72" w:name="_Toc283736554_Copy_1"/>
      <w:bookmarkStart w:id="73" w:name="_Toc183486577_Copy_1"/>
      <w:bookmarkStart w:id="74" w:name="_Toc183486575_Copy_1"/>
      <w:bookmarkStart w:id="75" w:name="_Toc269221361_Copy_1"/>
      <w:bookmarkStart w:id="76" w:name="_Toc273427126_Copy_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khoản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commentRangeStart w:id="2"/>
      <w:r>
        <w:rPr>
          <w:rFonts w:ascii="Times New Roman" w:hAnsi="Times New Roman"/>
          <w:sz w:val="26"/>
          <w:szCs w:val="26"/>
        </w:rPr>
        <w:t>Không bên nào được chuyển nhượng toàn bộ hoặc một phần quyền, nghĩa vụ theo Hợp đồng, trừ trường hợp quy định tại khoản này. Bên B không được giao thầu lại toàn bộ hoặc một phần công việc khi chưa được Bên A chấp thuận bằng văn bản (trừ việc mua vật tư, thuê máy, khoán nhân công);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rFonts w:ascii="Times New Roman" w:hAnsi="Times New Roman"/>
          <w:sz w:val="26"/>
          <w:szCs w:val="26"/>
        </w:rPr>
      </w:pPr>
      <w:commentRangeStart w:id="3"/>
      <w:r>
        <w:rPr>
          <w:rFonts w:ascii="Times New Roman" w:hAnsi="Times New Roman"/>
          <w:sz w:val="26"/>
          <w:szCs w:val="26"/>
        </w:rPr>
        <w:t>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commentRangeEnd w:id="3"/>
      <w:r>
        <w:commentReference w:id="3"/>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Bên B phải bồi thường toàn bộ thiệt hại, chi phí, tiền phạt mà Bên A phải gánh chịu do Bên B vi phạm pháp luật.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3.5. Khấu trừ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p>
    <w:p>
      <w:pPr>
        <w:pStyle w:val="Normal"/>
        <w:spacing w:lineRule="auto" w:line="276" w:before="0" w:after="120"/>
        <w:jc w:val="both"/>
        <w:rPr>
          <w:rFonts w:ascii="Times New Roman" w:hAnsi="Times New Roman"/>
          <w:sz w:val="26"/>
          <w:szCs w:val="26"/>
        </w:rPr>
      </w:pPr>
      <w:r>
        <w:rPr/>
        <w:commentReference w:id="4"/>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5"/>
      <w:r>
        <w:rPr>
          <w:rFonts w:ascii="Times New Roman" w:hAnsi="Times New Roman"/>
          <w:sz w:val="26"/>
          <w:szCs w:val="26"/>
        </w:rPr>
        <w:t>.</w:t>
      </w:r>
      <w:commentRangeEnd w:id="5"/>
      <w:r>
        <w:commentReference w:id="5"/>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6"/>
      <w:r>
        <w:rPr>
          <w:rFonts w:ascii="Times New Roman" w:hAnsi="Times New Roman"/>
          <w:b/>
          <w:bCs/>
          <w:sz w:val="26"/>
          <w:szCs w:val="26"/>
          <w:highlight w:val="yellow"/>
        </w:rPr>
        <w:t>Chậm trễ của Nhà thầu khác</w:t>
      </w:r>
      <w:r>
        <w:rPr>
          <w:rFonts w:ascii="Times New Roman" w:hAnsi="Times New Roman"/>
          <w:b/>
          <w:bCs/>
          <w:sz w:val="26"/>
          <w:szCs w:val="26"/>
        </w:rPr>
        <w:t xml:space="preserve"> được xử lý theo Điều 15.1 điểm c (</w:t>
      </w:r>
      <w:r>
        <w:rPr>
          <w:rFonts w:ascii="Times New Roman" w:hAnsi="Times New Roman"/>
          <w:b/>
          <w:bCs/>
          <w:sz w:val="26"/>
          <w:szCs w:val="26"/>
          <w:highlight w:val="yellow"/>
        </w:rPr>
        <w:t>gia hạn</w:t>
      </w:r>
      <w:r>
        <w:rPr>
          <w:rFonts w:ascii="Times New Roman" w:hAnsi="Times New Roman"/>
          <w:b/>
          <w:bCs/>
          <w:sz w:val="26"/>
          <w:szCs w:val="26"/>
        </w:rPr>
        <w:t>) và Điều 17.1 điểm c (</w:t>
      </w:r>
      <w:r>
        <w:rPr>
          <w:rFonts w:ascii="Times New Roman" w:hAnsi="Times New Roman"/>
          <w:b/>
          <w:bCs/>
          <w:sz w:val="26"/>
          <w:szCs w:val="26"/>
          <w:highlight w:val="yellow"/>
        </w:rPr>
        <w:t>chi phí dừng chờ</w:t>
      </w:r>
      <w:r>
        <w:rPr>
          <w:rFonts w:ascii="Times New Roman" w:hAnsi="Times New Roman"/>
          <w:b/>
          <w:bCs/>
          <w:sz w:val="26"/>
          <w:szCs w:val="26"/>
        </w:rPr>
        <w:t>)</w:t>
      </w:r>
      <w:r>
        <w:rPr>
          <w:rFonts w:ascii="Times New Roman" w:hAnsi="Times New Roman"/>
          <w:b/>
          <w:bCs/>
          <w:sz w:val="26"/>
          <w:szCs w:val="26"/>
          <w:highlight w:val="yellow"/>
        </w:rPr>
        <w:t>.</w:t>
      </w:r>
      <w:commentRangeEnd w:id="6"/>
      <w:r>
        <w:commentReference w:id="6"/>
      </w:r>
      <w:r>
        <w:rPr>
          <w:rFonts w:ascii="Times New Roman" w:hAnsi="Times New Roman"/>
          <w:b/>
          <w:bCs/>
          <w:sz w:val="26"/>
          <w:szCs w:val="26"/>
          <w:highlight w:val="yellow"/>
        </w:rPr>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 Trường hợp do lỗi của Bên B mà Chủ đầu tư từ chối nghiệm thu, giảm trừ thanh toán, yêu cầu sửa chữa, bồi thường đối với Bên A</w:t>
      </w:r>
      <w:r>
        <w:rPr>
          <w:rFonts w:ascii="Times New Roman" w:hAnsi="Times New Roman"/>
          <w:sz w:val="26"/>
          <w:szCs w:val="26"/>
        </w:rPr>
        <w:t xml:space="preserve"> thì</w:t>
      </w:r>
      <w:r>
        <w:rPr>
          <w:rFonts w:ascii="Times New Roman" w:hAnsi="Times New Roman"/>
          <w:sz w:val="26"/>
          <w:szCs w:val="26"/>
          <w:highlight w:val="yellow"/>
        </w:rPr>
        <w:t xml:space="preserve"> Bên B phải khắc phục </w:t>
      </w:r>
      <w:r>
        <w:rPr>
          <w:rFonts w:ascii="Times New Roman" w:hAnsi="Times New Roman"/>
          <w:sz w:val="26"/>
          <w:szCs w:val="26"/>
        </w:rPr>
        <w:t>bằng</w:t>
      </w:r>
      <w:r>
        <w:rPr>
          <w:rFonts w:ascii="Times New Roman" w:hAnsi="Times New Roman"/>
          <w:sz w:val="26"/>
          <w:szCs w:val="26"/>
          <w:highlight w:val="yellow"/>
        </w:rPr>
        <w:t xml:space="preserve"> chi phí</w:t>
      </w:r>
      <w:r>
        <w:rPr>
          <w:rFonts w:ascii="Times New Roman" w:hAnsi="Times New Roman"/>
          <w:sz w:val="26"/>
          <w:szCs w:val="26"/>
        </w:rPr>
        <w:t xml:space="preserve"> của mình và chịu trách nhiệm bồi thường; đối với</w:t>
      </w:r>
      <w:r>
        <w:rPr>
          <w:rFonts w:ascii="Times New Roman" w:hAnsi="Times New Roman"/>
          <w:sz w:val="26"/>
          <w:szCs w:val="26"/>
          <w:highlight w:val="yellow"/>
        </w:rPr>
        <w:t xml:space="preserve"> thiệt</w:t>
      </w:r>
      <w:r>
        <w:rPr>
          <w:rFonts w:ascii="Times New Roman" w:hAnsi="Times New Roman"/>
          <w:sz w:val="26"/>
          <w:szCs w:val="26"/>
        </w:rPr>
        <w:t xml:space="preserve"> hại phát sinh, hai bên cùng phối hợp xử lý theo nguyên tắc tại Điều 18.</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true"/>
        <w:spacing w:lineRule="auto" w:line="276" w:before="0" w:after="120"/>
        <w:jc w:val="both"/>
        <w:textAlignment w:val="baseline"/>
        <w:rPr>
          <w:rFonts w:ascii="Times New Roman" w:hAnsi="Times New Roman"/>
          <w:sz w:val="26"/>
          <w:szCs w:val="26"/>
        </w:rPr>
      </w:pPr>
      <w:r>
        <w:rPr/>
        <w:commentReference w:id="7"/>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5.7. </w:t>
      </w:r>
      <w:r>
        <w:rPr>
          <w:rFonts w:ascii="Times New Roman" w:hAnsi="Times New Roman"/>
          <w:sz w:val="26"/>
          <w:szCs w:val="26"/>
        </w:rPr>
        <w:t>Bên B chịu trách nhiệm về chất lượng công tác chống thấm phần ngầm. Trước khi nghiệm thu, Bên B phải thực hiện thí nghiệm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d) Việc kiểm tra, nghiệm thu của Bên A không miễn trừ, không làm giảm trách nhiệm của Bên B theo Hợp đồng và pháp luật. Số lượng hồ sơ nghiệm thu hoàn thành: 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Bên B đã hoàn thành tháo dỡ hệ văng chống, nhổ cừ (theo thiết kế biện pháp), thu dọn mặt bằng và bàn giao đầy đủ hồ sơ hoàn công.</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b) Trường hợp Bên B không thực hiện, thực hiện không đầy đủ hoặc thực hiện sai và không khắc phục trong thời hạn Bên A ấn định tại thông báo bằng văn bản, Bên A có quyền giữ lại giá trị thanh toán tương ứng và xử lý theo Điều 18.4.</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8"/>
      <w:r>
        <w:rPr>
          <w:rFonts w:ascii="Times New Roman" w:hAnsi="Times New Roman"/>
          <w:sz w:val="26"/>
          <w:szCs w:val="26"/>
        </w:rPr>
        <w:t xml:space="preserve">- Tổng thời gian thực hiện Hợp đồng: </w:t>
      </w:r>
      <w:r>
        <w:rPr>
          <w:rFonts w:ascii="Times New Roman" w:hAnsi="Times New Roman"/>
          <w:sz w:val="26"/>
          <w:szCs w:val="26"/>
          <w:highlight w:val="yellow"/>
        </w:rPr>
        <w:t>……</w:t>
      </w:r>
      <w:r>
        <w:rPr>
          <w:rFonts w:ascii="Times New Roman" w:hAnsi="Times New Roman"/>
          <w:sz w:val="26"/>
          <w:szCs w:val="26"/>
        </w:rPr>
        <w:t xml:space="preserve"> ngày kể từ ngày bắt đầu (hai bên chưa thống nhất, tiếp tục đàm phán).</w:t>
      </w:r>
      <w:commentRangeEnd w:id="8"/>
      <w:r>
        <w:commentReference w:id="8"/>
      </w:r>
      <w:r>
        <w:rPr>
          <w:rFonts w:ascii="Times New Roman" w:hAnsi="Times New Roman"/>
          <w:sz w:val="26"/>
          <w:szCs w:val="26"/>
        </w:rPr>
      </w:r>
    </w:p>
    <w:p>
      <w:pPr>
        <w:pStyle w:val="ListParagraph"/>
        <w:numPr>
          <w:ilvl w:val="0"/>
          <w:numId w:val="25"/>
        </w:numPr>
        <w:spacing w:before="0" w:after="120"/>
        <w:contextualSpacing/>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commentRangeStart w:id="9"/>
      <w:r>
        <w:rPr>
          <w:rFonts w:ascii="Times New Roman" w:hAnsi="Times New Roman"/>
          <w:sz w:val="26"/>
          <w:szCs w:val="26"/>
        </w:rPr>
        <w:t>Ngày bắt đầu là ngày do Bên A thông báo bằng văn bản cho Bên B (thông báo trước tối thiểu 07 ngày) sau khi các điều kiện sau đã được đáp ứng:</w:t>
      </w:r>
      <w:commentRangeEnd w:id="9"/>
      <w:r>
        <w:commentReference w:id="9"/>
      </w:r>
      <w:r>
        <w:rPr>
          <w:rFonts w:ascii="Times New Roman" w:hAnsi="Times New Roman"/>
          <w:sz w:val="26"/>
          <w:szCs w:val="26"/>
        </w:rPr>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bàn giao hồ sơ thiết kế bản vẽ thi công giai đoạn đầu;</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Các bên ký biên bản bàn giao mặt bằng giai đoạn đầu đủ điều kiện thi công theo Tiến độ thi công chi tiết; mặt bằng, hố đào các giai đoạn tiếp theo được bàn giao phù hợp với tiến độ;</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6"/>
        </w:numPr>
        <w:spacing w:before="0" w:after="120"/>
        <w:contextualSpacing/>
        <w:jc w:val="both"/>
        <w:rPr>
          <w:rFonts w:ascii="Times New Roman" w:hAnsi="Times New Roman"/>
          <w:sz w:val="26"/>
          <w:szCs w:val="26"/>
        </w:rPr>
      </w:pPr>
      <w:commentRangeStart w:id="10"/>
      <w:r>
        <w:rPr>
          <w:rFonts w:ascii="Times New Roman" w:hAnsi="Times New Roman"/>
          <w:sz w:val="26"/>
          <w:szCs w:val="26"/>
          <w:lang w:val="en-US"/>
        </w:rPr>
        <w:t>Bên B nhận được toàn bộ tiền tạm ứng của Bên A; điều kiện này chỉ áp dụng khi Bên A chậm tạm ứng từ 10 ngày làm việc trở lên so với thời hạn quy định tại Điều 10.3.1.</w:t>
      </w:r>
      <w:commentRangeEnd w:id="10"/>
      <w:r>
        <w:commentReference w:id="10"/>
      </w:r>
      <w:r>
        <w:rPr>
          <w:rFonts w:ascii="Times New Roman" w:hAnsi="Times New Roman"/>
          <w:sz w:val="26"/>
          <w:szCs w:val="26"/>
          <w:lang w:val="en-US"/>
        </w:rPr>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làm việc kể từ ngày ký Hợp đồng, Bên B phải trình Bên A tiến độ thi công chi tiết; tiến độ phải phù hợp với tiến độ thi công công tác đất của Nhà thầu khác và phải được Bên A chấp thuận.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Tiến độ thi công chi tiết được Bên A chấp thuận là căn cứ để quản lý thi công, nghiệm thu, bàn giao và xác định thời gian chậm tiến độ.</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có nghĩa vụ huy động máy móc, thiết bị, nhân lực, vật tư đến Công trường, thi công đúng tiến độ đã được chấp thuận và liên tục cho đến khi hoàn thành.</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kể từ ngày nhận được yêu cầu của Bên A, Bên B phải trình Bên A phê duyệt kế hoạch chi tiết về nhân lực, thiết bị và trình tự thi công;</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phải huy động đủ máy móc, thiết bị, vật tư, nhân lực để thực hiện công việc theo yêu cầu của Bên A trong thời hạn quy định;</w:t>
      </w:r>
    </w:p>
    <w:p>
      <w:pPr>
        <w:pStyle w:val="Normal"/>
        <w:tabs>
          <w:tab w:val="clear" w:pos="720"/>
          <w:tab w:val="left" w:pos="6750" w:leader="none"/>
        </w:tabs>
        <w:spacing w:lineRule="auto" w:line="276" w:before="0" w:after="120"/>
        <w:jc w:val="both"/>
        <w:rPr>
          <w:rFonts w:ascii="Times New Roman" w:hAnsi="Times New Roman"/>
          <w:sz w:val="26"/>
          <w:szCs w:val="26"/>
        </w:rPr>
      </w:pPr>
      <w:r>
        <w:rPr>
          <w:rFonts w:ascii="Times New Roman" w:hAnsi="Times New Roman"/>
          <w:sz w:val="26"/>
          <w:szCs w:val="26"/>
        </w:rPr>
        <w:t>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f) Thời hạn hoàn thành, bàn giao: theo Điều 7.1 và Tiến độ được Bên A chấp thuận. Việc gia hạn thời gian hoàn thành thực hiện theo Điều 15.1 điểm c.</w:t>
      </w:r>
    </w:p>
    <w:p>
      <w:pPr>
        <w:pStyle w:val="ListParagraph"/>
        <w:widowControl w:val="false"/>
        <w:numPr>
          <w:ilvl w:val="1"/>
          <w:numId w:val="28"/>
        </w:numPr>
        <w:spacing w:lineRule="auto" w:line="288" w:before="120" w:after="120"/>
        <w:contextualSpacing/>
        <w:jc w:val="both"/>
        <w:rPr>
          <w:rFonts w:ascii="Times New Roman" w:hAnsi="Times New Roman"/>
          <w:b/>
          <w:sz w:val="26"/>
          <w:szCs w:val="26"/>
        </w:rPr>
      </w:pPr>
      <w:bookmarkStart w:id="77" w:name="_Ref500837428"/>
      <w:bookmarkEnd w:id="77"/>
      <w:r>
        <w:rPr/>
        <w:commentReference w:id="11"/>
      </w:r>
    </w:p>
    <w:p>
      <w:pPr>
        <w:pStyle w:val="Normal"/>
        <w:spacing w:lineRule="auto" w:line="276" w:before="0" w:after="120"/>
        <w:jc w:val="both"/>
        <w:rPr>
          <w:rFonts w:ascii="Times New Roman" w:hAnsi="Times New Roman"/>
          <w:b/>
          <w:bCs/>
          <w:sz w:val="26"/>
          <w:szCs w:val="26"/>
        </w:rPr>
      </w:pPr>
      <w:commentRangeStart w:id="12"/>
      <w:r>
        <w:rPr>
          <w:rFonts w:ascii="Times New Roman" w:hAnsi="Times New Roman"/>
          <w:b/>
          <w:bCs/>
          <w:sz w:val="26"/>
          <w:szCs w:val="26"/>
        </w:rPr>
        <w:t>7.3. Hậu quả của việc chậm tiến độ thực hiện: theo Điều 18.3.</w:t>
      </w:r>
      <w:commentRangeEnd w:id="12"/>
      <w:r>
        <w:commentReference w:id="12"/>
      </w:r>
      <w:r>
        <w:rPr>
          <w:rFonts w:ascii="Times New Roman" w:hAnsi="Times New Roman"/>
          <w:b/>
          <w:bCs/>
          <w:sz w:val="26"/>
          <w:szCs w:val="26"/>
        </w:rPr>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13"/>
      <w:r>
        <w:rPr>
          <w:rFonts w:ascii="Times New Roman" w:hAnsi="Times New Roman"/>
          <w:sz w:val="26"/>
          <w:szCs w:val="26"/>
        </w:rPr>
        <w:t xml:space="preserve">bảo hiểm trách nhiệm dân sự đối với bên thứ ba cho phần công việc của Bên </w:t>
      </w:r>
      <w:commentRangeStart w:id="14"/>
      <w:r>
        <w:rPr>
          <w:rFonts w:ascii="Times New Roman" w:hAnsi="Times New Roman"/>
          <w:sz w:val="26"/>
          <w:szCs w:val="26"/>
        </w:rPr>
        <w:t>B</w:t>
      </w:r>
      <w:r>
        <w:rPr>
          <w:rFonts w:ascii="Times New Roman" w:hAnsi="Times New Roman"/>
          <w:sz w:val="26"/>
          <w:szCs w:val="26"/>
        </w:rPr>
      </w:r>
      <w:commentRangeEnd w:id="13"/>
      <w:r>
        <w:commentReference w:id="13"/>
      </w:r>
      <w:r>
        <w:rPr>
          <w:rFonts w:ascii="Times New Roman" w:hAnsi="Times New Roman"/>
          <w:sz w:val="26"/>
          <w:szCs w:val="26"/>
        </w:rPr>
      </w:r>
      <w:commentRangeEnd w:id="14"/>
      <w:r>
        <w:commentReference w:id="14"/>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commentRangeStart w:id="15"/>
      <w:r>
        <w:rPr>
          <w:rFonts w:ascii="Times New Roman" w:hAnsi="Times New Roman"/>
          <w:sz w:val="26"/>
          <w:szCs w:val="26"/>
        </w:rPr>
        <w:t>Thời hạn bảo hành: 36 tháng kể từ ngày Chủ đầu tư ký biên bản nghiệm thu hoàn thành hạng mục Công trình theo phạm vi hợp đồng, nhưng không ngắn hơn thời hạn bảo hành mà Bên A phải chịu theo Hợp đồng thầu chính.</w:t>
      </w:r>
      <w:commentRangeEnd w:id="15"/>
      <w:r>
        <w:commentReference w:id="15"/>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6"/>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w:t>
      </w:r>
      <w:r>
        <w:rPr>
          <w:rFonts w:ascii="Times New Roman" w:hAnsi="Times New Roman"/>
          <w:sz w:val="26"/>
          <w:szCs w:val="26"/>
          <w:highlight w:val="yellow"/>
        </w:rPr>
        <w:t>03</w:t>
      </w:r>
      <w:r>
        <w:rPr>
          <w:rFonts w:ascii="Times New Roman" w:hAnsi="Times New Roman"/>
          <w:sz w:val="26"/>
          <w:szCs w:val="26"/>
        </w:rPr>
        <w:t xml:space="preserve"> ngày (đối với sự cố khẩn cấp, thấm, rò rỉ nước: </w:t>
      </w:r>
      <w:r>
        <w:rPr>
          <w:rFonts w:ascii="Times New Roman" w:hAnsi="Times New Roman"/>
          <w:sz w:val="26"/>
          <w:szCs w:val="26"/>
          <w:highlight w:val="yellow"/>
        </w:rPr>
        <w:t>24</w:t>
      </w:r>
      <w:r>
        <w:rPr>
          <w:rFonts w:ascii="Times New Roman" w:hAnsi="Times New Roman"/>
          <w:sz w:val="26"/>
          <w:szCs w:val="26"/>
        </w:rPr>
        <w:t xml:space="preserve"> giờ) kể từ khi nhận được thông báo, Bên A có quyền xử lý theo Điều 18.4.</w:t>
      </w:r>
      <w:commentRangeEnd w:id="16"/>
      <w:r>
        <w:commentReference w:id="16"/>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(iii) Bên B được hoàn trả tiền bảo hành sau khi kết thúc thời hạn bảo hành và được Bên A xác nhận hoàn thành nghĩa vụ bảo hành. Trường hợp Bên B nộp bảo lãnh bảo hành có giá trị bằng tiền bảo hành theo Điều 19.3,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theo đơn giá cố định; riêng đơn giá thép xây dựng, bê tông thương phẩm là đơn giá điều chỉnh theo Điều 15.3. Ngoài trường hợp này, đơn giá không được điều chỉnh trong suốt thời gian thực hiện Hợp đồng.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7"/>
      <w:r>
        <w:rPr>
          <w:rFonts w:ascii="Times New Roman" w:hAnsi="Times New Roman"/>
          <w:sz w:val="26"/>
          <w:szCs w:val="26"/>
        </w:rPr>
        <w:t xml:space="preserve">a) Giá </w:t>
      </w:r>
      <w:commentRangeStart w:id="18"/>
      <w:r>
        <w:rPr>
          <w:rFonts w:ascii="Times New Roman" w:hAnsi="Times New Roman"/>
          <w:sz w:val="26"/>
          <w:szCs w:val="26"/>
        </w:rPr>
        <w:t xml:space="preserve">Hợp đồng (tạm tính): </w:t>
      </w:r>
      <w:r>
        <w:rPr>
          <w:rFonts w:ascii="Times New Roman" w:hAnsi="Times New Roman"/>
          <w:b/>
          <w:bCs/>
          <w:sz w:val="26"/>
          <w:szCs w:val="26"/>
          <w:highlight w:val="yellow"/>
        </w:rPr>
        <w:t>216.334.704.781</w:t>
      </w:r>
      <w:r>
        <w:rPr>
          <w:rFonts w:ascii="Times New Roman" w:hAnsi="Times New Roman"/>
          <w:b/>
          <w:bCs/>
          <w:sz w:val="26"/>
          <w:szCs w:val="26"/>
        </w:rPr>
        <w:t xml:space="preserve"> đồng</w:t>
      </w:r>
      <w:r>
        <w:rPr>
          <w:rFonts w:ascii="Times New Roman" w:hAnsi="Times New Roman"/>
          <w:sz w:val="26"/>
          <w:szCs w:val="26"/>
        </w:rPr>
        <w:t>,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Hai trăm mười sáu tỷ, ba trăm ba mươi tư triệu, bảy trăm linh bốn nghìn, bảy trăm tám mươi mốt đồng</w:t>
      </w:r>
      <w:r>
        <w:rPr>
          <w:rFonts w:ascii="Times New Roman" w:hAnsi="Times New Roman"/>
          <w:sz w:val="26"/>
          <w:szCs w:val="26"/>
        </w:rPr>
        <w:t xml:space="preserve">). Trong đó: giá trị trước thuế </w:t>
      </w:r>
      <w:r>
        <w:rPr>
          <w:rFonts w:ascii="Times New Roman" w:hAnsi="Times New Roman"/>
          <w:sz w:val="26"/>
          <w:szCs w:val="26"/>
          <w:highlight w:val="yellow"/>
        </w:rPr>
        <w:t>200.309.911.834</w:t>
      </w:r>
      <w:r>
        <w:rPr>
          <w:rFonts w:ascii="Times New Roman" w:hAnsi="Times New Roman"/>
          <w:sz w:val="26"/>
          <w:szCs w:val="26"/>
        </w:rPr>
        <w:t xml:space="preserve"> đồng; thuế GTGT 8% </w:t>
      </w:r>
      <w:r>
        <w:rPr>
          <w:rFonts w:ascii="Times New Roman" w:hAnsi="Times New Roman"/>
          <w:sz w:val="26"/>
          <w:szCs w:val="26"/>
          <w:highlight w:val="yellow"/>
        </w:rPr>
        <w:t>16.024.792.947</w:t>
      </w:r>
      <w:r>
        <w:rPr>
          <w:rFonts w:ascii="Times New Roman" w:hAnsi="Times New Roman"/>
          <w:sz w:val="26"/>
          <w:szCs w:val="26"/>
        </w:rPr>
        <w:t xml:space="preserve"> đồng. Thuế suất GTGT áp dụng theo quy định của pháp luật</w:t>
      </w:r>
      <w:r>
        <w:rPr>
          <w:rFonts w:ascii="Times New Roman" w:hAnsi="Times New Roman"/>
          <w:sz w:val="26"/>
          <w:szCs w:val="26"/>
        </w:rPr>
      </w:r>
      <w:commentRangeEnd w:id="18"/>
      <w:r>
        <w:commentReference w:id="18"/>
      </w:r>
      <w:r>
        <w:rPr>
          <w:rFonts w:ascii="Times New Roman" w:hAnsi="Times New Roman"/>
          <w:sz w:val="26"/>
          <w:szCs w:val="26"/>
        </w:rPr>
        <w:t>.</w:t>
      </w:r>
      <w:commentRangeEnd w:id="17"/>
      <w:r>
        <w:commentReference w:id="17"/>
      </w:r>
      <w:r>
        <w:rPr>
          <w:rFonts w:ascii="Times New Roman" w:hAnsi="Times New Roman"/>
          <w:sz w:val="26"/>
          <w:szCs w:val="26"/>
        </w:rPr>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rFonts w:ascii="Times New Roman" w:hAnsi="Times New Roman"/>
          <w:b/>
          <w:bCs/>
          <w:sz w:val="26"/>
          <w:szCs w:val="26"/>
        </w:rPr>
      </w:pPr>
      <w:r>
        <w:rPr/>
        <w:commentReference w:id="19"/>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25% giá trị Hợp đồng trước thuế GTGT, tương ứng </w:t>
      </w:r>
      <w:r>
        <w:rPr>
          <w:rFonts w:ascii="Times New Roman" w:hAnsi="Times New Roman"/>
          <w:sz w:val="26"/>
          <w:szCs w:val="26"/>
          <w:highlight w:val="yellow"/>
        </w:rPr>
        <w:t>50.077.477.959</w:t>
      </w:r>
      <w:r>
        <w:rPr>
          <w:rFonts w:ascii="Times New Roman" w:hAnsi="Times New Roman"/>
          <w:sz w:val="26"/>
          <w:szCs w:val="26"/>
        </w:rPr>
        <w:t xml:space="preserve"> đồng.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05</w:t>
      </w:r>
      <w:r>
        <w:rPr>
          <w:rFonts w:ascii="Times New Roman" w:hAnsi="Times New Roman"/>
          <w:sz w:val="26"/>
          <w:szCs w:val="26"/>
        </w:rPr>
        <w:t>% giá trị Hợp đồng theo Điều 19.2;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100</w:t>
      </w:r>
      <w:r>
        <w:rPr>
          <w:rFonts w:ascii="Times New Roman" w:hAnsi="Times New Roman"/>
          <w:sz w:val="26"/>
          <w:szCs w:val="26"/>
        </w:rPr>
        <w:t>% số tiền tạm ứng theo Điều 19.1;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90</w:t>
      </w:r>
      <w:r>
        <w:rPr>
          <w:rFonts w:ascii="Times New Roman" w:hAnsi="Times New Roman"/>
          <w:sz w:val="26"/>
          <w:szCs w:val="26"/>
        </w:rPr>
        <w:t>% giá trị khối lượng hoàn thành được nghiệm thu của từng đợt, sau khi trừ tiền thu hồi tạm ứng và các khoản khấu trừ (nếu có).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20"/>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20"/>
      <w:r>
        <w:commentReference w:id="20"/>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công việc theo giai đoạn; Bảng xác định khối lượng hoàn thành được Bên A</w:t>
      </w:r>
      <w:commentRangeStart w:id="21"/>
      <w:r>
        <w:rPr>
          <w:rFonts w:ascii="Times New Roman" w:hAnsi="Times New Roman"/>
          <w:sz w:val="26"/>
          <w:szCs w:val="26"/>
        </w:rPr>
        <w:t xml:space="preserve">, Tư vấn giám sát </w:t>
      </w:r>
      <w:r>
        <w:rPr>
          <w:rFonts w:ascii="Times New Roman" w:hAnsi="Times New Roman"/>
          <w:sz w:val="26"/>
          <w:szCs w:val="26"/>
        </w:rPr>
      </w:r>
      <w:commentRangeEnd w:id="21"/>
      <w:r>
        <w:commentReference w:id="21"/>
      </w:r>
      <w:r>
        <w:rPr>
          <w:rFonts w:ascii="Times New Roman" w:hAnsi="Times New Roman"/>
          <w:sz w:val="26"/>
          <w:szCs w:val="26"/>
        </w:rPr>
        <w:t>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Giá trị phần Công tác trọn gói tại Biểu 01 [Chi tiết giá hợp đồng] được thanh toán 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22"/>
      <w:r>
        <w:rPr>
          <w:rFonts w:ascii="Times New Roman" w:hAnsi="Times New Roman"/>
          <w:sz w:val="26"/>
          <w:szCs w:val="26"/>
        </w:rPr>
        <w:t>Bên A kiểm tra, cho ý kiến về hồ sơ trong vòng 15 (mười lăm) ngày kể từ ngày Bên A nhận được đầy đủ hồ sơ đề nghị thanh toán hợp lệ, đúng quy định của Hợp đồng từ Bên B. Nếu có yêu cầu chỉnh sửa, giải trình (nếu có), Bên A tổng hợp và phản hồi một lần bằng văn bản cho Bên B trong thời hạn nêu trên. Thời gian Bên B chỉnh sửa, bổ sung hồ sơ không tính vào thời hạn xem xét, thanh toán của Bên A. Thời hạn thanh toán theo điểm e khoản này.</w:t>
      </w:r>
      <w:commentRangeEnd w:id="22"/>
      <w:r>
        <w:commentReference w:id="2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widowControl w:val="false"/>
        <w:tabs>
          <w:tab w:val="clear" w:pos="720"/>
          <w:tab w:val="left" w:pos="270" w:leader="none"/>
        </w:tabs>
        <w:suppressAutoHyphens w:val="true"/>
        <w:bidi w:val="0"/>
        <w:spacing w:lineRule="auto" w:line="276" w:before="0" w:after="120"/>
        <w:jc w:val="both"/>
        <w:rPr>
          <w:rFonts w:ascii="Times New Roman" w:hAnsi="Times New Roman"/>
          <w:b/>
          <w:bCs/>
          <w:sz w:val="26"/>
          <w:szCs w:val="26"/>
        </w:rPr>
      </w:pPr>
      <w:r>
        <w:rPr>
          <w:rFonts w:ascii="Times New Roman" w:hAnsi="Times New Roman"/>
          <w:b/>
          <w:bCs/>
          <w:sz w:val="26"/>
          <w:szCs w:val="26"/>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b) Thanh toán quyết toán: </w:t>
      </w:r>
      <w:r>
        <w:rPr>
          <w:rFonts w:ascii="Times New Roman" w:hAnsi="Times New Roman"/>
          <w:sz w:val="26"/>
          <w:szCs w:val="26"/>
        </w:rPr>
        <w:t>sau khi Bên B hoàn thành toàn bộ công việc, các bên ký Biên bản nghiệm thu hoàn thành, bàn giao Hạng mục công trình và Chủ đầu tư phê duyệt giá trị quyết toán phần công việc tương ứng theo Hợp đồng thầu chính.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cho Bên B đến </w:t>
      </w:r>
      <w:r>
        <w:rPr>
          <w:rFonts w:ascii="Times New Roman" w:hAnsi="Times New Roman"/>
          <w:sz w:val="26"/>
          <w:szCs w:val="26"/>
          <w:highlight w:val="yellow"/>
        </w:rPr>
        <w:t>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19.3, Bên A thanh toán đến </w:t>
      </w:r>
      <w:r>
        <w:rPr>
          <w:rFonts w:ascii="Times New Roman" w:hAnsi="Times New Roman"/>
          <w:sz w:val="26"/>
          <w:szCs w:val="26"/>
          <w:highlight w:val="yellow"/>
        </w:rPr>
        <w:t>100</w:t>
      </w:r>
      <w:r>
        <w:rPr>
          <w:rFonts w:ascii="Times New Roman" w:hAnsi="Times New Roman"/>
          <w:sz w:val="26"/>
          <w:szCs w:val="26"/>
        </w:rPr>
        <w:t>% giá trị quyết toán. Hồ sơ, thời hạn lập và xác nhận quyết toán thực hiện theo Điều 14.1.</w:t>
      </w:r>
    </w:p>
    <w:p>
      <w:pPr>
        <w:pStyle w:val="Normal"/>
        <w:spacing w:lineRule="auto" w:line="276" w:before="0" w:after="120"/>
        <w:jc w:val="both"/>
        <w:rPr>
          <w:rFonts w:ascii="Times New Roman" w:hAnsi="Times New Roman"/>
          <w:b/>
          <w:bCs/>
          <w:sz w:val="26"/>
          <w:szCs w:val="26"/>
        </w:rPr>
      </w:pPr>
      <w:r>
        <w:rPr/>
        <w:commentReference w:id="23"/>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4"/>
      <w:r>
        <w:rPr>
          <w:rFonts w:ascii="Times New Roman" w:hAnsi="Times New Roman"/>
          <w:sz w:val="26"/>
          <w:szCs w:val="26"/>
        </w:rPr>
        <w:t>Trường hợp Bên B không nộp bảo lãnh bảo hành, Bên A giữ lại 05% giá trị quyết toán và thanh toán cho Bên B khi kết thúc thời hạn bảo hành. Hồ sơ thanh toán gồm:</w:t>
      </w:r>
      <w:commentRangeEnd w:id="24"/>
      <w:r>
        <w:commentReference w:id="24"/>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thanh toán các khoản thanh toán theo đợt trong vòng 20 ngày kể từ ngày Bên A phê duyệt hồ sơ thanh toán hợp lệ của Bên B. Giá trị quyết toán còn lại được thanh toán trong vòng 20 ngày kể từ ngày Bên A phê duyệt hồ sơ quyết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Công văn đề nghị thanh toán giai đoạn, quyết toán, thanh lý Hợp đồng phải ghi rõ giá trị hóa đơn đã xuất, số tiền Bên A đã thanh toán cho Bên B, số tiền Bên B còn được hưởng và tài khoản chuyển tiền, kèm phiếu giá thanh toán có xác nhận của đại diện Bên A. Các thành phần hồ sơ khác theo Điều 10.3.2 và Điều 14.1.</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rFonts w:ascii="Times New Roman" w:hAnsi="Times New Roman"/>
          <w:sz w:val="26"/>
          <w:szCs w:val="26"/>
        </w:rPr>
      </w:pPr>
      <w:r>
        <w:rPr/>
        <w:commentReference w:id="25"/>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10.7.</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10.8.</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Hỗ trợ Bên B trong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commentReference w:id="26"/>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commentReference w:id="27"/>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Sự cố do lỗi của Bên B được khắc phục và bồi thường theo nguyên tắc tại Điều 18.</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a) Bên B phải tuân thủ tất cả quy định an toàn lao động hiện hành, quy định của Hợp đồng thầu chính,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78" w:name="_Toc323776361"/>
      <w:bookmarkStart w:id="79" w:name="_Toc323775524"/>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78"/>
      <w:bookmarkEnd w:id="79"/>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Bên B vi phạm quy định về an toàn, Bên A có quyền tạm dừng công việc tại khu vực bị ảnh hưởng theo Điều 17.1 cho đến khi Bên B thực hiện đầy đủ biện pháp an toàn và xử lý theo Điều 18.2, Điều 18.4;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khắc phục bằng chi phí của mình, bồi thường theo nguyên tắc tại Điều 18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các biện pháp bảo vệ môi trường, Bên A có quyền xử lý theo Điều 18.2 và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Bên B được coi là đã khảo sát, nắm đầy đủ điều kiện Công trường theo Điều 9.2. Bên B không được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commentReference w:id="28"/>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cung cấp đầy đủ, kịp thời các máy và thiết bị thi công (bao gồm cả các máy và thiết bị thi công phụ, nhỏ lẻ) theo yêu cầu của Bên A, Tư vấn giám sát, Chủ đầu tư,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 quá thời hạn này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Nhà thầu chính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được chủ động giải thể, rút quân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việc hoàn trả mặt bằng và thu dọn Công trường, Bên A có quyền xử lý theo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tru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rFonts w:ascii="Times New Roman" w:hAnsi="Times New Roman"/>
          <w:sz w:val="26"/>
          <w:szCs w:val="26"/>
        </w:rPr>
      </w:pPr>
      <w:r>
        <w:rPr/>
        <w:commentReference w:id="29"/>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13. VẬT TƯ, VẬT LIỆU DO BÊN B CUNG CẤP</w:t>
      </w:r>
    </w:p>
    <w:p>
      <w:pPr>
        <w:pStyle w:val="Normal"/>
        <w:spacing w:lineRule="auto" w:line="276" w:before="0" w:after="120"/>
        <w:jc w:val="both"/>
        <w:rPr>
          <w:rFonts w:ascii="Times New Roman" w:hAnsi="Times New Roman"/>
          <w:bCs/>
          <w:sz w:val="26"/>
          <w:szCs w:val="26"/>
          <w:highlight w:val="yellow"/>
        </w:rPr>
      </w:pPr>
      <w:r>
        <w:rPr>
          <w:rFonts w:ascii="Times New Roman" w:hAnsi="Times New Roman"/>
          <w:b/>
          <w:sz w:val="26"/>
          <w:szCs w:val="26"/>
        </w:rPr>
        <w:t>13.1.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r>
        <w:rPr>
          <w:rFonts w:ascii="Times New Roman" w:hAnsi="Times New Roman"/>
          <w:b/>
          <w:sz w:val="26"/>
          <w:szCs w:val="26"/>
          <w:lang w:val="vi-VN"/>
        </w:rPr>
        <w:t>13.3.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14. QUYẾT TOÁN VÀ THANH LÝ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14.1. Quyết toán hợp đồng: </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Sau khi hoàn thành toàn bộ công việc của Hợp đồng, Bên B phải lập và trình Bên A hồ sơ quyết toán Hợp đồng theo mẫu của Bên A, cụ thể:</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 Thời hạn nộp hồ sơ quyết toán Hợp đồng: Trong vòng 30 ngày kể từ ngày Bên B hoàn thành toàn bộ các công việc của Hợp đồng.</w:t>
      </w:r>
    </w:p>
    <w:p>
      <w:pPr>
        <w:pStyle w:val="Normal"/>
        <w:tabs>
          <w:tab w:val="clear" w:pos="720"/>
          <w:tab w:val="left" w:pos="709" w:leader="none"/>
        </w:tabs>
        <w:spacing w:lineRule="auto" w:line="276" w:before="0" w:after="120"/>
        <w:jc w:val="both"/>
        <w:rPr>
          <w:rFonts w:ascii="Times New Roman" w:hAnsi="Times New Roman"/>
          <w:bCs/>
          <w:strike/>
          <w:sz w:val="26"/>
          <w:szCs w:val="26"/>
        </w:rPr>
      </w:pPr>
      <w:r>
        <w:rPr>
          <w:rFonts w:ascii="Times New Roman" w:hAnsi="Times New Roman"/>
          <w:bCs/>
          <w:strike/>
          <w:sz w:val="26"/>
          <w:szCs w:val="26"/>
        </w:rPr>
        <w:t>(ii)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(iii) Thời hạn Bên A xem xét, xác nhận quyết toán Hợp đồng: trong vòng 30 ngày kể từ ngày Bên A nhận đủ hồ sơ quyết toán hợp lệ; thời gian Bên B sửa đổi, bổ sung hồ sơ không tính vào thời hạn này.</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A chưa chấp thuận một phần hồ sơ quyết toán, Bên B phải bổ sung thông tin, tài liệu, chỉnh sửa hồ sơ theo yêu cầu của Bên A và trình lại trong thời hạn Bên A ấn định.</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14.2. Thanh lý hợp đồng: </w:t>
      </w:r>
    </w:p>
    <w:p>
      <w:pPr>
        <w:pStyle w:val="Normal"/>
        <w:widowControl w:val="false"/>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được thanh lý khi các bên đã hoàn thành toàn bộ nghĩa vụ theo Hợp đồng, bao gồm nghĩa vụ bảo hành. Các bên ký biên bản thanh lý Hợp đồng trong vòng 30 ngày kể từ ngày hoàn thành nghĩa vụ.</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15. SỬA ĐỔI, ĐIỀU CHỈNH HỢP ĐỒNG VÀ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 hoặc theo yêu cầu của Bên A, Bên B phải trình cho Bên A tiến độ thi công điều chỉnh, nêu rõ biện pháp bảo đảm hoàn thành đúng các mốc tiến độ bắt buộc.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commentRangeStart w:id="30"/>
      <w:commentRangeStart w:id="31"/>
      <w:r>
        <w:rPr>
          <w:rFonts w:ascii="Times New Roman" w:hAnsi="Times New Roman"/>
          <w:sz w:val="26"/>
          <w:szCs w:val="26"/>
          <w:lang w:val="vi-VN"/>
        </w:rPr>
        <w:t xml:space="preserve">c) Gia hạn thời gian hoàn thành: Bên B được gia hạn thời gian hoàn thành tương ứng với mức ảnh hưởng thực tế đến đường găng của Tiến độ thi công chi tiết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Điều kiện thời tiết bất lợi bất thường, có số liệu xác nhận của cơ quan khí tượng thủy văn;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B tạm dừng theo Điều 17.1 điểm a(iii) do Bên A chậm thanh toán; (vi) Các trường hợp tạm ngừng theo quyết định của Bên A mà không phải do lỗi của Bên B. Bên B phải thông báo bằng văn bản cho Bên A trong vòng </w:t>
      </w:r>
      <w:r>
        <w:rPr>
          <w:rFonts w:ascii="Times New Roman" w:hAnsi="Times New Roman"/>
          <w:sz w:val="26"/>
          <w:szCs w:val="26"/>
          <w:highlight w:val="yellow"/>
          <w:lang w:val="vi-VN"/>
        </w:rPr>
        <w:t>14</w:t>
      </w:r>
      <w:r>
        <w:rPr>
          <w:rFonts w:ascii="Times New Roman" w:hAnsi="Times New Roman"/>
          <w:sz w:val="26"/>
          <w:szCs w:val="26"/>
          <w:lang w:val="vi-VN"/>
        </w:rPr>
        <w:t xml:space="preserve"> ngày kể từ ngày biết hoặc phải biết sự kiện, kèm tài liệu chứng minh và phân tích ảnh hưởng đến đường găng; quá thời hạn này Bên B mất quyền yêu cầu gia hạn và chi phí liên quan đến sự kiện đó.</w:t>
      </w:r>
      <w:r>
        <w:rPr>
          <w:rFonts w:ascii="Times New Roman" w:hAnsi="Times New Roman"/>
          <w:sz w:val="26"/>
          <w:szCs w:val="26"/>
          <w:lang w:val="vi-VN"/>
        </w:rPr>
      </w:r>
      <w:commentRangeEnd w:id="31"/>
      <w:r>
        <w:commentReference w:id="31"/>
      </w:r>
      <w:commentRangeEnd w:id="30"/>
      <w:r>
        <w:commentReference w:id="30"/>
      </w:r>
      <w:r>
        <w:rPr>
          <w:rFonts w:ascii="Times New Roman" w:hAnsi="Times New Roman"/>
          <w:sz w:val="26"/>
          <w:szCs w:val="26"/>
          <w:lang w:val="vi-VN"/>
        </w:rPr>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thanh toán cho Bên B theo khối lượng thực tế hoàn thành (tăng hoặc giảm so với khối lượng tạm tính) đúng Hồ sơ thiết kế, Chỉ dẫn kỹ thuật, được Tư vấn giám sát nghiệm thu cho Bên A và được Bên A xác nhận.</w:t>
      </w:r>
    </w:p>
    <w:p>
      <w:pPr>
        <w:pStyle w:val="Normal"/>
        <w:widowControl w:val="false"/>
        <w:spacing w:lineRule="auto" w:line="276" w:before="0" w:after="120"/>
        <w:jc w:val="both"/>
        <w:rPr>
          <w:rFonts w:ascii="Times New Roman" w:hAnsi="Times New Roman"/>
          <w:b/>
          <w:sz w:val="26"/>
          <w:szCs w:val="26"/>
          <w:lang w:val="vi-VN"/>
        </w:rPr>
      </w:pPr>
      <w:commentRangeStart w:id="32"/>
      <w:r>
        <w:rPr>
          <w:rFonts w:ascii="Times New Roman" w:hAnsi="Times New Roman"/>
          <w:b/>
          <w:sz w:val="26"/>
          <w:szCs w:val="26"/>
          <w:lang w:val="vi-VN"/>
        </w:rPr>
        <w:t>15.3. Điều chỉnh giá trị Hợp đồng:</w:t>
      </w:r>
      <w:commentRangeEnd w:id="32"/>
      <w:r>
        <w:commentReference w:id="32"/>
      </w:r>
      <w:r>
        <w:rPr>
          <w:rFonts w:ascii="Times New Roman" w:hAnsi="Times New Roman"/>
          <w:b/>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commentRangeStart w:id="33"/>
      <w:r>
        <w:rPr>
          <w:rFonts w:ascii="Times New Roman" w:hAnsi="Times New Roman"/>
          <w:sz w:val="26"/>
          <w:szCs w:val="26"/>
          <w:lang w:val="vi-VN"/>
        </w:rPr>
        <w:t xml:space="preserve">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(iii) Chỉ số giá thép xây dựng, bê tông thương phẩm do Sở Xây dựng Hà Nội công bố tăng hoặc giảm quá </w:t>
      </w:r>
      <w:r>
        <w:rPr>
          <w:rFonts w:ascii="Times New Roman" w:hAnsi="Times New Roman"/>
          <w:sz w:val="26"/>
          <w:szCs w:val="26"/>
          <w:highlight w:val="yellow"/>
          <w:lang w:val="vi-VN"/>
        </w:rPr>
        <w:t>10</w:t>
      </w:r>
      <w:r>
        <w:rPr>
          <w:rFonts w:ascii="Times New Roman" w:hAnsi="Times New Roman"/>
          <w:sz w:val="26"/>
          <w:szCs w:val="26"/>
          <w:lang w:val="vi-VN"/>
        </w:rPr>
        <w:t>% so với chỉ số tại tháng ký Hợp đồng: giá trị điều chỉnh hằng tháng GTĐC = (Gt − Gc × (100% + D)) × Q, trong đó Gt là đơn giá theo công bố của Sở Xây dựng Hà Nội tại tháng thi công; Gc là đơn giá cơ sở tại Biểu 01; D = +</w:t>
      </w:r>
      <w:r>
        <w:rPr>
          <w:rFonts w:ascii="Times New Roman" w:hAnsi="Times New Roman"/>
          <w:sz w:val="26"/>
          <w:szCs w:val="26"/>
          <w:highlight w:val="yellow"/>
          <w:lang w:val="vi-VN"/>
        </w:rPr>
        <w:t>10</w:t>
      </w:r>
      <w:r>
        <w:rPr>
          <w:rFonts w:ascii="Times New Roman" w:hAnsi="Times New Roman"/>
          <w:sz w:val="26"/>
          <w:szCs w:val="26"/>
          <w:lang w:val="vi-VN"/>
        </w:rPr>
        <w:t>% khi giá tăng, −</w:t>
      </w:r>
      <w:r>
        <w:rPr>
          <w:rFonts w:ascii="Times New Roman" w:hAnsi="Times New Roman"/>
          <w:sz w:val="26"/>
          <w:szCs w:val="26"/>
          <w:highlight w:val="yellow"/>
          <w:lang w:val="vi-VN"/>
        </w:rPr>
        <w:t>10</w:t>
      </w:r>
      <w:r>
        <w:rPr>
          <w:rFonts w:ascii="Times New Roman" w:hAnsi="Times New Roman"/>
          <w:sz w:val="26"/>
          <w:szCs w:val="26"/>
          <w:lang w:val="vi-VN"/>
        </w:rPr>
        <w:t>% khi giá giảm; Q là khối lượng vật tư đưa vào Công trình được nghiệm thu trong tháng, không vượt khối lượng tương ứng theo Hợp đồng; phần biến động trong phạm vi ±</w:t>
      </w:r>
      <w:r>
        <w:rPr>
          <w:rFonts w:ascii="Times New Roman" w:hAnsi="Times New Roman"/>
          <w:sz w:val="26"/>
          <w:szCs w:val="26"/>
          <w:highlight w:val="yellow"/>
          <w:lang w:val="vi-VN"/>
        </w:rPr>
        <w:t>10</w:t>
      </w:r>
      <w:r>
        <w:rPr>
          <w:rFonts w:ascii="Times New Roman" w:hAnsi="Times New Roman"/>
          <w:sz w:val="26"/>
          <w:szCs w:val="26"/>
          <w:lang w:val="vi-VN"/>
        </w:rPr>
        <w:t>% không được điều chỉnh. Không điều chỉnh tăng đối với khối lượng thi công chậm so với Tiến độ thi công chi tiết do lỗi của Bên B; giá trị điều chỉnh tăng không vượt quá mức Chủ đầu tư chấp thuận điều chỉnh cho Bên A đối với phần việc tương ứng. Chi phí tạm dừng, dừng chờ thực hiện theo Điều 17.1 điểm c.</w:t>
      </w:r>
      <w:commentRangeEnd w:id="33"/>
      <w:r>
        <w:commentReference w:id="33"/>
      </w:r>
      <w:r>
        <w:rPr>
          <w:rFonts w:ascii="Times New Roman" w:hAnsi="Times New Roman"/>
          <w:sz w:val="26"/>
          <w:szCs w:val="26"/>
          <w:lang w:val="vi-VN"/>
        </w:rPr>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15.4.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Đối với công việc phát sinh, thay đổi khẩn cấp liên quan đến công việc của Bên B, Bên B phải thực hiện ngay bằng nguồn lực hiện có.</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B có trách nhiệm lập và nộp Bên A hồ sơ khối lượng phát sinh, gồm biện pháp thi công và đơn giá, theo nguyên tắc:</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 Trường hợp khối lượng công việc phát sinh, thay đổi đã có đơn giá trong Hợp đồng thì sử dụng đơn giá trong Hợp đồng để thanh toán.</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commentRangeStart w:id="34"/>
      <w:r>
        <w:rPr>
          <w:rFonts w:ascii="Times New Roman" w:hAnsi="Times New Roman"/>
          <w:sz w:val="26"/>
          <w:szCs w:val="26"/>
          <w:lang w:val="vi-VN"/>
        </w:rPr>
        <w: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đơn giá được phê duyệt không vượt quá đơn giá Chủ đầu tư phê duyệt cho Bên A đối với công việc tương ứng. Bên B nộp hồ sơ phát sinh trong vòng 07 ngày kể từ ngày nhận được yêu cầu; Bên A xem xét trong vòng </w:t>
      </w:r>
      <w:r>
        <w:rPr>
          <w:rFonts w:ascii="Times New Roman" w:hAnsi="Times New Roman"/>
          <w:sz w:val="26"/>
          <w:szCs w:val="26"/>
          <w:highlight w:val="yellow"/>
          <w:lang w:val="vi-VN"/>
        </w:rPr>
        <w:t>14</w:t>
      </w:r>
      <w:r>
        <w:rPr>
          <w:rFonts w:ascii="Times New Roman" w:hAnsi="Times New Roman"/>
          <w:sz w:val="26"/>
          <w:szCs w:val="26"/>
          <w:lang w:val="vi-VN"/>
        </w:rPr>
        <w:t xml:space="preserve"> ngày làm việc kể từ ngày nhận đủ hồ sơ hợp lệ. Quá thời hạn nêu trên mà Bên A chưa có ý kiến, Bên B có quyền đề nghị họp để thống nhất; đơn giá chỉ có hiệu lực khi được Bên A chấp thuận bằng văn bản. Trong thời gian chờ thống nhất đơn giá, Bên B phải thực hiện công việc theo yêu cầu bằng văn bản của Bên A và được tạm thanh toán theo đơn giá tạm tính do Bên A xác định; giá trị được điều chỉnh khi đơn giá chính thức được thống nhất.</w:t>
      </w:r>
      <w:commentRangeEnd w:id="34"/>
      <w:r>
        <w:commentReference w:id="34"/>
      </w:r>
      <w:r>
        <w:rPr>
          <w:rFonts w:ascii="Times New Roman" w:hAnsi="Times New Roman"/>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(iii) Thay đổi biện pháp thi công, trình tự phối hợp do Bên B đề xuất hoặc để khắc phục sai sót, vi phạm của Bên B không được coi là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15.5. Thanh toán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và đơn giá tạm tính quy định tại Điều 15.4, Bên A không có nghĩa vụ thanh toán công việc phát sinh, thay đổi không được Bên A chấp thuận bằng văn bản. Giá trị công việc phát sinh, thay đổi được thanh toán cùng kỳ thanh toán theo đợt tại Điều 10.3.2.</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15.6.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16.5.</w:t>
      </w:r>
      <w:r>
        <w:rPr>
          <w:rFonts w:ascii="Times New Roman" w:hAnsi="Times New Roman"/>
          <w:sz w:val="26"/>
          <w:szCs w:val="26"/>
          <w:lang w:val="vi-VN"/>
        </w:rPr>
        <w:t xml:space="preserve"> Khi xảy ra sự kiện bất khả kháng, việc gia hạn thực hiện theo Điều 15.1 điểm c, thời gian gia hạn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gia hạn theo Điều 15.1 điểm c; chi phí phát sinh (nếu có) được Bên A chấp thuận bù đắp theo điểm c khoản này.</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(iii) Bên A chậm thanh toán, tạm ứng quá 45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commentRangeStart w:id="35"/>
      <w:commentRangeStart w:id="36"/>
      <w:r>
        <w:rPr>
          <w:rFonts w:ascii="Times New Roman" w:hAnsi="Times New Roman"/>
          <w:sz w:val="26"/>
          <w:szCs w:val="26"/>
          <w:lang w:val="vi-VN"/>
        </w:rPr>
        <w:t xml:space="preserve">(v) Bên A không kiểm tra, cho ý kiến đối với hồ sơ thanh toán quá </w:t>
      </w:r>
      <w:r>
        <w:rPr>
          <w:rFonts w:ascii="Times New Roman" w:hAnsi="Times New Roman"/>
          <w:sz w:val="26"/>
          <w:szCs w:val="26"/>
          <w:highlight w:val="yellow"/>
          <w:lang w:val="vi-VN"/>
        </w:rPr>
        <w:t>28</w:t>
      </w:r>
      <w:r>
        <w:rPr>
          <w:rFonts w:ascii="Times New Roman" w:hAnsi="Times New Roman"/>
          <w:sz w:val="26"/>
          <w:szCs w:val="26"/>
          <w:lang w:val="vi-VN"/>
        </w:rPr>
        <w:t xml:space="preserve"> ngày kể từ ngày Bên B trình hồ sơ thanh toán đầy đủ, đúng quy định của Hợp đồng.</w:t>
      </w:r>
      <w:r>
        <w:rPr>
          <w:rFonts w:ascii="Times New Roman" w:hAnsi="Times New Roman"/>
          <w:sz w:val="26"/>
          <w:szCs w:val="26"/>
          <w:lang w:val="vi-VN"/>
        </w:rPr>
      </w:r>
      <w:commentRangeEnd w:id="36"/>
      <w:r>
        <w:commentReference w:id="36"/>
      </w:r>
      <w:commentRangeEnd w:id="35"/>
      <w:r>
        <w:commentReference w:id="35"/>
      </w:r>
      <w:r>
        <w:rPr>
          <w:rFonts w:ascii="Times New Roman" w:hAnsi="Times New Roman"/>
          <w:sz w:val="26"/>
          <w:szCs w:val="26"/>
          <w:lang w:val="vi-VN"/>
        </w:rPr>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r>
        <w:rPr>
          <w:rFonts w:ascii="Times New Roman" w:hAnsi="Times New Roman"/>
          <w:bCs/>
          <w:sz w:val="26"/>
          <w:szCs w:val="26"/>
          <w:lang w:val="vi-VN"/>
        </w:rPr>
        <w:t xml:space="preserve">b) Bên tạm dừng phải thông báo bằng văn bản cho bên kia ít nhất </w:t>
      </w:r>
      <w:r>
        <w:rPr>
          <w:rFonts w:ascii="Times New Roman" w:hAnsi="Times New Roman"/>
          <w:bCs/>
          <w:sz w:val="26"/>
          <w:szCs w:val="26"/>
        </w:rPr>
        <w:t>28</w:t>
      </w:r>
      <w:r>
        <w:rPr>
          <w:rFonts w:ascii="Times New Roman" w:hAnsi="Times New Roman"/>
          <w:bCs/>
          <w:sz w:val="26"/>
          <w:szCs w:val="26"/>
          <w:lang w:val="vi-VN"/>
        </w:rPr>
        <w:t xml:space="preserve"> ngày trước</w:t>
      </w:r>
      <w:r>
        <w:rPr>
          <w:rFonts w:ascii="Times New Roman" w:hAnsi="Times New Roman"/>
          <w:bCs/>
          <w:sz w:val="26"/>
          <w:szCs w:val="26"/>
          <w:lang w:val="vi-VN"/>
        </w:rPr>
        <w:t>,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commentRangeStart w:id="37"/>
      <w:r>
        <w:rPr>
          <w:rFonts w:ascii="Times New Roman" w:hAnsi="Times New Roman"/>
          <w:bCs/>
          <w:sz w:val="26"/>
          <w:szCs w:val="26"/>
          <w:lang w:val="en-US"/>
        </w:rPr>
        <w:t>c) Chi phí dừng chờ, tạm dừng: Bên A thanh toán chi phí dừng chờ cho Bên B khi đồng thời đáp ứng các điều kiện: (i) việc dừng chờ không phải do lỗi của Bên B;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được hai bên thống nhất bằng văn bản, không bao gồm lợi nhuận và chi phí gián tiếp. Chậm trễ của Nhà thầu khác do Bên 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commentRangeEnd w:id="37"/>
      <w:r>
        <w:commentReference w:id="37"/>
      </w:r>
      <w:r>
        <w:rPr>
          <w:rFonts w:ascii="Times New Roman" w:hAnsi="Times New Roman"/>
          <w:bCs/>
          <w:sz w:val="26"/>
          <w:szCs w:val="26"/>
          <w:lang w:val="en-US"/>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8"/>
      <w:r>
        <w:rPr>
          <w:rFonts w:ascii="Times New Roman" w:hAnsi="Times New Roman"/>
          <w:sz w:val="26"/>
          <w:szCs w:val="26"/>
          <w:lang w:val="vi-VN"/>
        </w:rPr>
        <w:t>(iv) Hợp đồng thầu chính bị chấm dứt trước thời hạn: hai bên lập biên bản xác nhận hiện trạng,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thực hiện</w:t>
      </w:r>
      <w:r>
        <w:rPr>
          <w:rFonts w:ascii="Times New Roman" w:hAnsi="Times New Roman"/>
          <w:sz w:val="26"/>
          <w:szCs w:val="26"/>
          <w:lang w:val="vi-VN"/>
        </w:rPr>
        <w:t xml:space="preserve"> theo quy định của pháp luật về hợp đồng xây dựng; Bên A thanh toán cho Bên B giá trị khối lượng đã được xác nhận, không chịu phạt và không bồi thường.</w:t>
      </w:r>
      <w:commentRangeEnd w:id="38"/>
      <w:r>
        <w:commentReference w:id="38"/>
      </w:r>
      <w:r>
        <w:rPr>
          <w:rFonts w:ascii="Times New Roman" w:hAnsi="Times New Roman"/>
          <w:sz w:val="26"/>
          <w:szCs w:val="26"/>
          <w:lang w:val="vi-VN"/>
        </w:rPr>
      </w:r>
    </w:p>
    <w:p>
      <w:pPr>
        <w:pStyle w:val="Normal"/>
        <w:spacing w:lineRule="auto" w:line="276" w:before="0" w:after="120"/>
        <w:jc w:val="both"/>
        <w:rPr>
          <w:rFonts w:ascii="Times New Roman" w:hAnsi="Times New Roman"/>
          <w:bCs/>
          <w:sz w:val="26"/>
          <w:szCs w:val="26"/>
          <w:lang w:val="vi-VN"/>
        </w:rPr>
      </w:pPr>
      <w:commentRangeStart w:id="39"/>
      <w:r>
        <w:rPr>
          <w:rFonts w:ascii="Times New Roman" w:hAnsi="Times New Roman"/>
          <w:sz w:val="26"/>
          <w:szCs w:val="26"/>
          <w:lang w:val="vi-VN"/>
        </w:rPr>
        <w:t xml:space="preserve">(v) Bên A chấm dứt Hợp đồng vì lý do thuận tiện (Chủ đầu tư dừng, giãn, thay đổi Dự án hoặc theo nhu cầu của Bên A) sau khi thông báo bằng văn bản trước </w:t>
      </w:r>
      <w:r>
        <w:rPr>
          <w:rFonts w:ascii="Times New Roman" w:hAnsi="Times New Roman"/>
          <w:sz w:val="26"/>
          <w:szCs w:val="26"/>
          <w:highlight w:val="yellow"/>
          <w:lang w:val="vi-VN"/>
        </w:rPr>
        <w:t>28</w:t>
      </w:r>
      <w:r>
        <w:rPr>
          <w:rFonts w:ascii="Times New Roman" w:hAnsi="Times New Roman"/>
          <w:sz w:val="26"/>
          <w:szCs w:val="26"/>
          <w:lang w:val="vi-VN"/>
        </w:rPr>
        <w:t xml:space="preserve"> ngày; Bên A thanh toán cho Bên B theo Điều 18.5 điểm b, không chịu phạt và không bồi thường lợi nhuận dự kiến.</w:t>
      </w:r>
      <w:commentRangeEnd w:id="39"/>
      <w:r>
        <w:commentReference w:id="39"/>
      </w:r>
      <w:r>
        <w:rPr>
          <w:rFonts w:ascii="Times New Roman" w:hAnsi="Times New Roman"/>
          <w:sz w:val="26"/>
          <w:szCs w:val="26"/>
          <w:lang w:val="vi-VN"/>
        </w:rPr>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9"/>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Tổng số tiền phạt chậm tiến độ của Bên B đạt mức phạt tối đa theo Điều 18.3;</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tuân theo các hướng dẫn của Bên A, Tư vấn giám sát, Chủ đầu tư hoặc liên tiếp hành động một cách bất hợp tác đối với Bên A, Tư vấn giám sát, Chủ đầu tư và các nhà thầu phụ khác của Bên A;</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40"/>
      <w:r>
        <w:rPr>
          <w:rFonts w:ascii="Times New Roman" w:hAnsi="Times New Roman"/>
          <w:sz w:val="26"/>
          <w:szCs w:val="26"/>
          <w:lang w:val="vi-VN"/>
        </w:rPr>
        <w:t>Bên B thường xuyên không thực hiện các biện pháp bảo đảm an toàn lao động, an toàn giao thông, bảo vệ môi trường, phòng chống cháy nổ theo Hợp đồng sau khi đã được Bên A nhắc nhở, yêu cầu bằng văn bản;</w:t>
      </w:r>
      <w:commentRangeEnd w:id="40"/>
      <w:r>
        <w:commentReference w:id="40"/>
      </w:r>
      <w:r>
        <w:rPr>
          <w:rFonts w:ascii="Times New Roman" w:hAnsi="Times New Roman"/>
          <w:sz w:val="26"/>
          <w:szCs w:val="26"/>
          <w:lang w:val="vi-VN"/>
        </w:rPr>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chuyển nhượng Hợp đồng hoặc giao thầu lại toàn bộ công việc khi chưa được Bên A chấp thuận bằng văn bản;</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nộp bảo đảm thực hiện hợp đồng hoặc không gia hạn bảo lãnh theo quy định của Hợp đồng;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41"/>
      <w:r>
        <w:rPr>
          <w:rFonts w:ascii="Times New Roman" w:hAnsi="Times New Roman"/>
          <w:sz w:val="26"/>
          <w:szCs w:val="26"/>
          <w:lang w:val="vi-VN"/>
        </w:rPr>
        <w:t>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commentRangeEnd w:id="41"/>
      <w:r>
        <w:commentReference w:id="41"/>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42"/>
      <w:r>
        <w:rPr>
          <w:rFonts w:ascii="Times New Roman" w:hAnsi="Times New Roman"/>
          <w:sz w:val="26"/>
          <w:szCs w:val="26"/>
          <w:lang w:val="vi-VN"/>
        </w:rPr>
        <w:t>Bên B không khắc phục vi phạm nghĩa vụ Hợp đồng trong thời hạn hợp lý nêu tại thông báo khắc phục bằng văn bản của Bên A;</w:t>
      </w:r>
      <w:commentRangeEnd w:id="42"/>
      <w:r>
        <w:commentReference w:id="42"/>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43"/>
      <w:r>
        <w:rPr>
          <w:rFonts w:ascii="Times New Roman" w:hAnsi="Times New Roman"/>
          <w:sz w:val="26"/>
          <w:szCs w:val="26"/>
          <w:lang w:val="vi-VN"/>
        </w:rPr>
        <w:t xml:space="preserve">Bên B có quyền đơn phương chấm dứt Hợp đồng theo quy định của pháp luật về hợp đồng xây dựng, nhưng phải thông báo bằng văn bản trước cho Bên A tối thiểu là </w:t>
      </w:r>
      <w:r>
        <w:rPr>
          <w:rFonts w:ascii="Times New Roman" w:hAnsi="Times New Roman"/>
          <w:sz w:val="26"/>
          <w:szCs w:val="26"/>
        </w:rPr>
        <w:t>15</w:t>
      </w:r>
      <w:r>
        <w:rPr>
          <w:rFonts w:ascii="Times New Roman" w:hAnsi="Times New Roman"/>
          <w:sz w:val="26"/>
          <w:szCs w:val="26"/>
          <w:lang w:val="vi-VN"/>
        </w:rPr>
        <w:t xml:space="preserve"> ngày, trong các trường hợp sau:</w:t>
      </w:r>
      <w:commentRangeEnd w:id="43"/>
      <w:r>
        <w:commentReference w:id="43"/>
      </w:r>
      <w:r>
        <w:rPr>
          <w:rFonts w:ascii="Times New Roman" w:hAnsi="Times New Roman"/>
          <w:sz w:val="26"/>
          <w:szCs w:val="26"/>
          <w:lang w:val="vi-VN"/>
        </w:rPr>
      </w:r>
    </w:p>
    <w:p>
      <w:pPr>
        <w:pStyle w:val="ListParagraph"/>
        <w:numPr>
          <w:ilvl w:val="0"/>
          <w:numId w:val="23"/>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 giải thể, bị đình chỉ hoạt động; </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rPr>
        <w:t xml:space="preserve">Bên A không thanh toán cho Bên B quá </w:t>
      </w:r>
      <w:r>
        <w:rPr>
          <w:rFonts w:ascii="Times New Roman" w:hAnsi="Times New Roman"/>
          <w:sz w:val="26"/>
          <w:szCs w:val="26"/>
          <w:highlight w:val="yellow"/>
        </w:rPr>
        <w:t>60</w:t>
      </w:r>
      <w:r>
        <w:rPr>
          <w:rFonts w:ascii="Times New Roman" w:hAnsi="Times New Roman"/>
          <w:sz w:val="26"/>
          <w:szCs w:val="26"/>
        </w:rPr>
        <w:t xml:space="preserve"> ngày kể từ ngày hết thời hạn thanh toán theo Hợp đồng đối với hồ sơ thanh toán đầy đủ, hợp lệ, không do lỗi của Bên B;</w:t>
      </w:r>
    </w:p>
    <w:p>
      <w:pPr>
        <w:pStyle w:val="ListParagraph"/>
        <w:numPr>
          <w:ilvl w:val="0"/>
          <w:numId w:val="23"/>
        </w:numPr>
        <w:spacing w:before="0" w:after="120"/>
        <w:contextualSpacing/>
        <w:jc w:val="both"/>
        <w:rPr>
          <w:rFonts w:ascii="Times New Roman" w:hAnsi="Times New Roman"/>
          <w:sz w:val="26"/>
          <w:szCs w:val="26"/>
        </w:rPr>
      </w:pPr>
      <w:commentRangeStart w:id="44"/>
      <w:r>
        <w:rPr>
          <w:rFonts w:ascii="Times New Roman" w:hAnsi="Times New Roman"/>
          <w:sz w:val="26"/>
          <w:szCs w:val="26"/>
          <w:lang w:val="en-US"/>
        </w:rPr>
        <w:t xml:space="preserve">Công việc bị dừng liên tục quá </w:t>
      </w:r>
      <w:r>
        <w:rPr>
          <w:rFonts w:ascii="Times New Roman" w:hAnsi="Times New Roman"/>
          <w:sz w:val="26"/>
          <w:szCs w:val="26"/>
          <w:highlight w:val="yellow"/>
          <w:lang w:val="en-US"/>
        </w:rPr>
        <w:t>84</w:t>
      </w:r>
      <w:r>
        <w:rPr>
          <w:rFonts w:ascii="Times New Roman" w:hAnsi="Times New Roman"/>
          <w:sz w:val="26"/>
          <w:szCs w:val="26"/>
          <w:lang w:val="en-US"/>
        </w:rPr>
        <w:t xml:space="preserve"> ngày theo Điều 17.1 do lỗi của Bên A.</w:t>
      </w:r>
      <w:commentRangeEnd w:id="44"/>
      <w:r>
        <w:commentReference w:id="44"/>
      </w:r>
      <w:r>
        <w:rPr>
          <w:rFonts w:ascii="Times New Roman" w:hAnsi="Times New Roman"/>
          <w:sz w:val="26"/>
          <w:szCs w:val="26"/>
          <w:lang w:val="en-US"/>
        </w:rPr>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0"/>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18. PHẠT, BỒI THƯỜNG VÀ XỬ LÝ VI PHẠM HỢP ĐỒNG</w:t>
      </w:r>
    </w:p>
    <w:p>
      <w:pPr>
        <w:pStyle w:val="Normal"/>
        <w:spacing w:lineRule="auto" w:line="276" w:before="0" w:after="120"/>
        <w:jc w:val="both"/>
        <w:rPr>
          <w:rFonts w:ascii="Times New Roman" w:hAnsi="Times New Roman"/>
          <w:sz w:val="26"/>
          <w:szCs w:val="26"/>
        </w:rPr>
      </w:pPr>
      <w:commentRangeStart w:id="45"/>
      <w:commentRangeStart w:id="46"/>
      <w:r>
        <w:rPr>
          <w:rFonts w:ascii="Times New Roman" w:hAnsi="Times New Roman"/>
          <w:sz w:val="26"/>
          <w:szCs w:val="26"/>
        </w:rPr>
        <w:t>Các bên thỏa thuận mức phạt và bồi thường theo Điều 86 Luật Xây dựng số 135/2025/QH15. Tổng mức phạt vi phạm đối với Bên B không vượt quá 10% giá trị Hợp đồng. Nguyên tắc khắc phục và bồi thường áp dụng thống nhất cho toàn bộ Hợp đồng: (i) mọi sai sót, hư hỏng, sự cố, vi phạm do lỗi của Bên B phải được Bên B khắc phục toàn bộ (100%) bằng chi phí của mình; (ii) thiệt hại phát sinh do lỗi của Bên B (đối với Bên A, Chủ đầu tư hoặc bên thứ ba, kể cả các khoản Bên A bị Chủ đầu tư phạt, khấu trừ do lỗi của Bên B)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 trường hợp mức phạt bị giới hạn theo quy định của pháp luật, Bên A vẫn có quyền yêu cầu bồi thường toàn bộ thiệt hại thực tế. Bên A có quyền thu tiền phạt, tiền bồi thường bằng cách khấu trừ vào giá trị thanh toán theo Điều 3.5 hoặc thu từ bảo lãnh thực hiện Hợp đồng.</w:t>
      </w:r>
      <w:r>
        <w:rPr>
          <w:rFonts w:ascii="Times New Roman" w:hAnsi="Times New Roman"/>
          <w:sz w:val="26"/>
          <w:szCs w:val="26"/>
        </w:rPr>
      </w:r>
      <w:commentRangeEnd w:id="46"/>
      <w:r>
        <w:commentReference w:id="46"/>
      </w:r>
      <w:commentRangeEnd w:id="45"/>
      <w:r>
        <w:commentReference w:id="45"/>
      </w:r>
      <w:r>
        <w:rPr>
          <w:rFonts w:ascii="Times New Roman" w:hAnsi="Times New Roman"/>
          <w:sz w:val="26"/>
          <w:szCs w:val="26"/>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18.3. Phạt, bồi thường và xử lý do chậm tiến độ:</w:t>
      </w:r>
    </w:p>
    <w:p>
      <w:pPr>
        <w:pStyle w:val="Normal"/>
        <w:spacing w:lineRule="auto" w:line="276" w:before="0" w:after="120"/>
        <w:jc w:val="both"/>
        <w:rPr>
          <w:rFonts w:ascii="Times New Roman" w:hAnsi="Times New Roman"/>
          <w:sz w:val="26"/>
          <w:szCs w:val="26"/>
        </w:rPr>
      </w:pPr>
      <w:commentRangeStart w:id="47"/>
      <w:r>
        <w:rPr>
          <w:rFonts w:ascii="Times New Roman" w:hAnsi="Times New Roman"/>
          <w:sz w:val="26"/>
          <w:szCs w:val="26"/>
        </w:rPr>
        <w:t xml:space="preserve">a) 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0,1%</w:t>
      </w:r>
      <w:r>
        <w:rPr>
          <w:rFonts w:ascii="Times New Roman" w:hAnsi="Times New Roman"/>
          <w:sz w:val="26"/>
          <w:szCs w:val="26"/>
        </w:rPr>
        <w:t xml:space="preserve"> giá trị Hợp đồng cho mỗi 01 ngày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08</w:t>
      </w:r>
      <w:r>
        <w:rPr>
          <w:rFonts w:ascii="Times New Roman" w:hAnsi="Times New Roman"/>
          <w:sz w:val="26"/>
          <w:szCs w:val="26"/>
        </w:rPr>
        <w:t>% giá trị Hợp đồng. Việc phạt vi phạm không loại trừ quyền yêu cầu bồi thường thiệt hại của Bên A.</w:t>
      </w:r>
      <w:commentRangeEnd w:id="47"/>
      <w:r>
        <w:commentReference w:id="47"/>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Khi tiến độ thi công bị chậm hoặc có nguy cơ bị chậm, Bên B phải áp dụng ngay biện pháp khắc phục (tăng cường thiết bị, nhân lực, vật tư, tăng ca, làm thêm giờ, làm vào ngày nghỉ…) bằng chi phí của mình.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48"/>
      <w:r>
        <w:rPr>
          <w:rFonts w:ascii="Times New Roman" w:hAnsi="Times New Roman"/>
          <w:b/>
          <w:sz w:val="26"/>
          <w:szCs w:val="26"/>
        </w:rPr>
        <w:t>18.4. Bên A tự thực hiện hoặc thuê đơn vị khác thực hiện thay Bên B:</w:t>
      </w:r>
      <w:commentRangeEnd w:id="48"/>
      <w:r>
        <w:commentReference w:id="48"/>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Trường hợp Bên B không thực hiện, thực hiện không đầy đủ hoặc không khắc phục sai sót, tồn tại, vi phạm (về chất lượng, tiến độ, an toàn, môi trường, máy và thiết bị thi công, thu dọn mặt bằng, bảo hành hoặc bất kỳ nghĩa vụ nào khác) trong thời hạn quy định tại Hợp đồng hoặc thời hạn Bên A ấn định bằng văn bản, Bên A có quyền tự thực hiện hoặc thuê đơn vị khác thực hiện. Bên B chịu toàn bộ chi phí thực tế hợp lý và chi phí quản lý theo Điều 3.5 và bồi thường thiệt hại theo nguyên tắc tại Điều này; Bên A khấu trừ vào giá trị thanh toán, tiền bảo hành hoặc thu từ bảo lãnh.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18.5.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b) Trường hợp chấm dứt Hợp đồng do lỗi của Bên A (bao gồm trường hợp Bên B chấm dứt theo Điều 17.2 điểm c), Bên A thanh toán cho Bên B: (1) giá trị khối lượng đã được nghiệm thu hợp lệ; (2) chi phí huy động, giải thể hợp lý chưa được thanh toán; (3) giá trị vật tư đã đặt hàng không thể hủy, với điều kiện vật tư được bàn giao cho Bên A; sau khi trừ các khoản đã tạm ứng, thanh toán. Các khoản trên phải có chứng từ hợp lệ và biên bản xác nhận của hai bên. Bên A không chịu phạt và không bồi thường lợi nhuận dự kiến của phần việc chưa thực hiện.</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49"/>
      <w:r>
        <w:rPr>
          <w:rFonts w:ascii="Times New Roman" w:hAnsi="Times New Roman"/>
          <w:b/>
          <w:sz w:val="26"/>
          <w:szCs w:val="26"/>
        </w:rPr>
        <w:t>18.6. Trách nhiệm do Bên A chậm thanh toán:</w:t>
      </w:r>
      <w:commentRangeEnd w:id="49"/>
      <w:r>
        <w:commentReference w:id="49"/>
      </w:r>
      <w:r>
        <w:rPr>
          <w:rFonts w:ascii="Times New Roman" w:hAnsi="Times New Roman"/>
          <w:b/>
          <w:sz w:val="26"/>
          <w:szCs w:val="26"/>
        </w:rPr>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A chậm thanh toán quá </w:t>
      </w:r>
      <w:r>
        <w:rPr>
          <w:rFonts w:ascii="Times New Roman" w:hAnsi="Times New Roman"/>
          <w:sz w:val="26"/>
          <w:szCs w:val="26"/>
          <w:highlight w:val="yellow"/>
        </w:rPr>
        <w:t>14</w:t>
      </w:r>
      <w:r>
        <w:rPr>
          <w:rFonts w:ascii="Times New Roman" w:hAnsi="Times New Roman"/>
          <w:sz w:val="26"/>
          <w:szCs w:val="26"/>
        </w:rPr>
        <w:t xml:space="preserve"> ngày so với thời hạn tại Điều 10.3.2 điểm e do lỗi của Bên A, đối với hồ sơ thanh toán đầy đủ, hợp lệ, Bên A trả lãi trên số tiền chậm trả theo lãi suất tiền gửi kỳ hạn 01 tháng của ngân hàng nơi Bên A mở tài khoản thanh toán, tính từ ngày thứ </w:t>
      </w:r>
      <w:r>
        <w:rPr>
          <w:rFonts w:ascii="Times New Roman" w:hAnsi="Times New Roman"/>
          <w:sz w:val="26"/>
          <w:szCs w:val="26"/>
          <w:highlight w:val="yellow"/>
        </w:rPr>
        <w:t>15</w:t>
      </w:r>
      <w:r>
        <w:rPr>
          <w:rFonts w:ascii="Times New Roman" w:hAnsi="Times New Roman"/>
          <w:sz w:val="26"/>
          <w:szCs w:val="26"/>
        </w:rPr>
        <w:t xml:space="preserve"> đến ngày thanh toán thực tế. Không áp dụng lãi khi Chủ đầu tư chậm thanh toán cho Bên A phần công việc tương ứng. Việc chậm thanh toán không là căn cứ gia hạn thời gian thực hiện Hợp đồng, trừ trường hợp Bên B tạm dừng theo Điều 17.1. Ngoài lãi chậm trả và các quyền tại Điều 17, Bên B không được yêu cầu bồi thường khác do Bên A chậm thanh toán.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19. BẢO LÃNH</w:t>
      </w:r>
    </w:p>
    <w:p>
      <w:pPr>
        <w:pStyle w:val="Normal"/>
        <w:spacing w:lineRule="auto" w:line="276" w:before="0" w:after="120"/>
        <w:jc w:val="both"/>
        <w:rPr>
          <w:rFonts w:ascii="Times New Roman" w:hAnsi="Times New Roman"/>
          <w:b/>
          <w:sz w:val="26"/>
          <w:szCs w:val="26"/>
        </w:rPr>
      </w:pPr>
      <w:r>
        <w:rPr>
          <w:rFonts w:ascii="Times New Roman" w:hAnsi="Times New Roman"/>
          <w:b/>
          <w:sz w:val="26"/>
          <w:szCs w:val="26"/>
        </w:rPr>
        <w:t>19.1.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19.2.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r>
        <w:rPr>
          <w:rFonts w:ascii="Times New Roman" w:hAnsi="Times New Roman"/>
          <w:b/>
          <w:sz w:val="26"/>
          <w:szCs w:val="26"/>
        </w:rPr>
        <w:t>19.3.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Áp dụng theo mẫu mà Bên A ban hành tại Biểu 06 đính kèm Hợp đồng này. Bảo lãnh bảo hành là bảo lãnh vô điều kiện và không hủy ngang dưới mọi hình thức, có giá trị bằng 05%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50"/>
      <w:commentRangeStart w:id="51"/>
      <w:r>
        <w:rPr>
          <w:rFonts w:ascii="Times New Roman" w:hAnsi="Times New Roman"/>
          <w:b/>
          <w:sz w:val="26"/>
          <w:szCs w:val="26"/>
        </w:rPr>
        <w:t>19.4. Thông tin về bố trí tài chính của Bên A:</w:t>
      </w:r>
      <w:r>
        <w:rPr>
          <w:rFonts w:ascii="Times New Roman" w:hAnsi="Times New Roman"/>
          <w:b/>
          <w:sz w:val="26"/>
          <w:szCs w:val="26"/>
        </w:rPr>
      </w:r>
      <w:commentRangeEnd w:id="51"/>
      <w:r>
        <w:commentReference w:id="51"/>
      </w:r>
      <w:commentRangeEnd w:id="50"/>
      <w:r>
        <w:commentReference w:id="50"/>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Trong vòng </w:t>
      </w:r>
      <w:r>
        <w:rPr>
          <w:rFonts w:ascii="Times New Roman" w:hAnsi="Times New Roman"/>
          <w:sz w:val="26"/>
          <w:szCs w:val="26"/>
          <w:highlight w:val="yellow"/>
        </w:rPr>
        <w:t>28</w:t>
      </w:r>
      <w:r>
        <w:rPr>
          <w:rFonts w:ascii="Times New Roman" w:hAnsi="Times New Roman"/>
          <w:sz w:val="26"/>
          <w:szCs w:val="26"/>
        </w:rPr>
        <w:t xml:space="preserve"> ngày kể từ ngày nhận được yêu cầu hợp lý bằng văn bản của Bên B, Bên A cung cấp cho Bên B thông tin về việc bố trí nguồn vốn để thanh toán cho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20. TRANH CHẤP, GIẢI QUYẾT TRANH CHẤP</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20.1.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 xml:space="preserve">20.2. </w:t>
      </w:r>
      <w:r>
        <w:rPr>
          <w:rFonts w:ascii="Times New Roman" w:hAnsi="Times New Roman"/>
          <w:bCs/>
          <w:sz w:val="26"/>
          <w:szCs w:val="26"/>
        </w:rPr>
        <w:t xml:space="preserve">Việc </w:t>
      </w:r>
      <w:r>
        <w:rPr>
          <w:rFonts w:ascii="Times New Roman" w:hAnsi="Times New Roman"/>
          <w:sz w:val="26"/>
          <w:szCs w:val="26"/>
        </w:rPr>
        <w:t>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r>
        <w:rPr>
          <w:rFonts w:ascii="Times New Roman" w:hAnsi="Times New Roman"/>
          <w:b/>
          <w:sz w:val="26"/>
          <w:szCs w:val="26"/>
        </w:rPr>
        <w:t>20.3.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21. ĐIỀU KHOẢN CHUNG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21.4</w:t>
      </w:r>
      <w:r>
        <w:rPr>
          <w:rFonts w:ascii="Times New Roman" w:hAnsi="Times New Roman"/>
          <w:sz w:val="26"/>
          <w:szCs w:val="26"/>
        </w:rPr>
        <w:t>.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0" w:name="_Toc283298428"/>
            <w:bookmarkStart w:id="81" w:name="_Toc283735878"/>
            <w:bookmarkStart w:id="82" w:name="_Toc273427131"/>
            <w:bookmarkStart w:id="83" w:name="_Toc283736676"/>
            <w:bookmarkStart w:id="84" w:name="_Toc283736557"/>
            <w:bookmarkStart w:id="85" w:name="_Toc273003011"/>
            <w:bookmarkEnd w:id="80"/>
            <w:bookmarkEnd w:id="81"/>
            <w:bookmarkEnd w:id="82"/>
            <w:bookmarkEnd w:id="83"/>
            <w:bookmarkEnd w:id="84"/>
            <w:bookmarkEnd w:id="85"/>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5" w:type="dxa"/>
          <w:bottom w:w="0" w:type="dxa"/>
          <w:right w:w="5" w:type="dxa"/>
        </w:tblCellMar>
        <w:tblLook w:val="04a0" w:noHBand="0" w:noVBand="1" w:firstColumn="1" w:lastRow="0" w:lastColumn="0" w:firstRow="1"/>
      </w:tblPr>
      <w:tblGrid>
        <w:gridCol w:w="568"/>
        <w:gridCol w:w="1702"/>
        <w:gridCol w:w="7388"/>
      </w:tblGrid>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2"/>
        <w:gridCol w:w="2820"/>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2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52"/>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52"/>
      <w:r>
        <w:commentReference w:id="52"/>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7"/>
        <w:gridCol w:w="1153"/>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666"/>
        <w:gridCol w:w="5818"/>
        <w:gridCol w:w="2582"/>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giàn giáo không đúng cách hoặc sử dụng giàn giáo không đảm bảo chất lượng</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Sử dụng các máy và thiết bị thi công không đảm bảo an toàn. máy không có kiểm định hoặc hết niên hạn sử dụng. người điều khiển không có bằng cấp phù hợp</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7"/>
        <w:gridCol w:w="2803"/>
        <w:gridCol w:w="5672"/>
      </w:tblGrid>
      <w:tr>
        <w:trPr>
          <w:tblHeader w:val="true"/>
          <w:cantSplit w:val="true"/>
        </w:trPr>
        <w:tc>
          <w:tcPr>
            <w:tcW w:w="5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an Kinh tế &amp; Quản lý Hợp đồng" w:date="2026-10-14T16:20:00Z" w:initials="BKt&amp;QlHđ">
    <w:p>
      <w:pPr>
        <w:overflowPunct w:val="false"/>
        <w:rPr/>
      </w:pPr>
      <w:r>
        <w:rPr>
          <w:rFonts w:ascii="Liberation Serif" w:hAnsi="Liberation Serif" w:eastAsia="DejaVu Sans" w:cs="DejaVu Sans"/>
          <w:sz w:val="24"/>
          <w:lang w:val="en-US" w:eastAsia="en-US" w:bidi="en-US"/>
        </w:rPr>
        <w:t>Quy định chi tiết ở phụ lục giá, không kê chi tiết trong định nghĩa</w:t>
      </w:r>
    </w:p>
  </w:comment>
  <w:comment w:id="1" w:author="VNCN E&amp;C - Thương thảo 17/10" w:date="2026-10-19T03:59:07Z" w:initials="TT">
    <w:p>
      <w:pPr>
        <w:overflowPunct w:val="true"/>
        <w:rPr/>
      </w:pPr>
      <w:r>
        <w:rPr>
          <w:rFonts w:ascii="Liberation Serif" w:hAnsi="Liberation Serif" w:eastAsia="DejaVu Sans" w:cs="DejaVu Sans"/>
          <w:color w:val="000000"/>
          <w:sz w:val="20"/>
          <w:szCs w:val="20"/>
          <w:lang w:val="en-US" w:eastAsia="en-US" w:bidi="en-US"/>
        </w:rPr>
        <w:t>Thương thảo 17/10: bỏ định nghĩa 1.20 Phần ngầm (đồng ý PH); 1.21–1.26 đánh lại số 1.20–1.25. Điều kiện chung: chỉ bỏ nguyên tắc “back to back”, giữ nguyên định nghĩa và các nội dung liên quan đến Hợp đồng thầu chính.</w:t>
      </w:r>
    </w:p>
  </w:comment>
  <w:comment w:id="2" w:author="VNCN E&amp;C - Đề xuất theo FIDIC" w:date="2026-10-19T03:59:47Z" w:initials="FD">
    <w:p>
      <w:pPr>
        <w:overflowPunct w:val="false"/>
        <w:rPr/>
      </w:pPr>
      <w:r>
        <w:rPr>
          <w:rFonts w:ascii="Liberation Serif" w:hAnsi="Liberation Serif" w:eastAsia="DejaVu Sans" w:cs="DejaVu Sans"/>
          <w:color w:val="000000"/>
          <w:sz w:val="20"/>
          <w:szCs w:val="20"/>
          <w:lang w:val="en-US" w:eastAsia="en-US" w:bidi="en-US"/>
        </w:rPr>
        <w:t>FIDIC 4.4: nhà thầu không được giao lại một phần công việc khi chưa có chấp thuận (trừ nhà cung cấp vật tư). Phù hợp quy định về nhà thầu phụ trong pháp luật hợp đồng xây dựng.</w:t>
      </w:r>
    </w:p>
  </w:comment>
  <w:comment w:id="3" w:author="VNCN E&amp;C - Thương thảo 17/10" w:date="2026-10-19T03:59:03Z" w:initials="TT">
    <w:p>
      <w:pPr>
        <w:overflowPunct w:val="true"/>
        <w:rPr/>
      </w:pPr>
      <w:r>
        <w:rPr>
          <w:rFonts w:ascii="Liberation Serif" w:hAnsi="Liberation Serif" w:eastAsia="DejaVu Sans" w:cs="DejaVu Sans"/>
          <w:color w:val="000000"/>
          <w:sz w:val="20"/>
          <w:szCs w:val="20"/>
          <w:lang w:val="en-US" w:eastAsia="en-US" w:bidi="en-US"/>
        </w:rPr>
        <w:t>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4" w:author="Ban Kinh tế &amp; Quản lý Hợp đồng" w:date="2026-10-14T17:08:00Z" w:initials="BKt&amp;QlHđ">
    <w:p>
      <w:pPr>
        <w:overflowPunct w:val="false"/>
        <w:rPr/>
      </w:pPr>
      <w:r>
        <w:rPr>
          <w:rFonts w:ascii="Liberation Serif" w:hAnsi="Liberation Serif" w:eastAsia="DejaVu Sans" w:cs="DejaVu Sans"/>
          <w:sz w:val="24"/>
          <w:lang w:val="en-US" w:eastAsia="en-US" w:bidi="en-US"/>
        </w:rPr>
        <w:t>Hồ sơ đầu vào thiết bị đăng, đăng ký nhân công BCH thực hiện theo quy định của Ban QLDA không cần nêu trong HĐ</w:t>
      </w:r>
    </w:p>
  </w:comment>
  <w:comment w:id="5" w:author="Ban Kinh tế &amp; Quản lý Hợp đồng" w:date="2026-10-14T17:12:00Z" w:initials="BKt&amp;QlHđ">
    <w:p>
      <w:pPr>
        <w:overflowPunct w:val="false"/>
        <w:rPr/>
      </w:pPr>
      <w:r>
        <w:rPr>
          <w:rFonts w:ascii="Liberation Serif" w:hAnsi="Liberation Serif" w:eastAsia="DejaVu Sans" w:cs="DejaVu Sans"/>
          <w:sz w:val="24"/>
          <w:lang w:val="en-US" w:eastAsia="en-US" w:bidi="en-US"/>
        </w:rPr>
        <w:t>Đã tham chiếu ý trên ở Biểu 1 (Chi tiết giá HĐ)</w:t>
      </w:r>
    </w:p>
  </w:comment>
  <w:comment w:id="6" w:author="VNCN E&amp;C - Thương thảo 17/10" w:date="2026-10-19T03:59:03Z" w:initials="TT">
    <w:p>
      <w:pPr>
        <w:overflowPunct w:val="true"/>
        <w:rPr/>
      </w:pPr>
      <w:r>
        <w:rPr>
          <w:rFonts w:ascii="Liberation Serif" w:hAnsi="Liberation Serif" w:eastAsia="DejaVu Sans" w:cs="DejaVu Sans"/>
          <w:color w:val="000000"/>
          <w:sz w:val="20"/>
          <w:szCs w:val="20"/>
          <w:lang w:val="en-US" w:eastAsia="en-US" w:bidi="en-US"/>
        </w:rPr>
        <w:t>Nội dung 4.2 của PH (Bên A trả toàn bộ chi phí dừng chờ do Nhà thầu khác) được gộp vào 17.1 điểm c cùng với 11.2.h – không để rải rác.</w:t>
      </w:r>
    </w:p>
  </w:comment>
  <w:comment w:id="7" w:author="VNCN E&amp;C - Thương thảo 17/10" w:date="2026-10-19T03:59:03Z" w:initials="TT">
    <w:p>
      <w:pPr>
        <w:overflowPunct w:val="true"/>
        <w:rPr/>
      </w:pPr>
      <w:r>
        <w:rPr>
          <w:rFonts w:ascii="Liberation Serif" w:hAnsi="Liberation Serif" w:eastAsia="DejaVu Sans" w:cs="DejaVu Sans"/>
          <w:color w:val="000000"/>
          <w:sz w:val="20"/>
          <w:szCs w:val="20"/>
          <w:lang w:val="en-US" w:eastAsia="en-US" w:bidi="en-US"/>
        </w:rPr>
        <w:t>Bỏ 5.7, 5.8, 5.9 vì trùng 4.3, 5.6, 12.2.12, 13.4 và nguyên tắc khắc phục, bồi thường tại Điều 18; 5.10 đánh lại thành 5.7.</w:t>
      </w:r>
    </w:p>
  </w:comment>
  <w:comment w:id="8" w:author="VNCN E&amp;C - Thương thảo 17/10" w:date="2026-10-19T03:59:03Z" w:initials="TT">
    <w:p>
      <w:pPr>
        <w:overflowPunct w:val="true"/>
        <w:rPr/>
      </w:pPr>
      <w:r>
        <w:rPr>
          <w:rFonts w:ascii="Liberation Serif" w:hAnsi="Liberation Serif" w:eastAsia="DejaVu Sans" w:cs="DejaVu Sans"/>
          <w:color w:val="000000"/>
          <w:sz w:val="20"/>
          <w:szCs w:val="20"/>
          <w:lang w:val="en-US" w:eastAsia="en-US" w:bidi="en-US"/>
        </w:rPr>
        <w:t>Thương thảo 17/10: tiến độ để trống, chưa đàm phán được.</w:t>
      </w:r>
    </w:p>
  </w:comment>
  <w:comment w:id="9" w:author="VNCN E&amp;C - Đề xuất theo FIDIC" w:date="2026-10-19T03:59:47Z" w:initials="FD">
    <w:p>
      <w:pPr>
        <w:overflowPunct w:val="false"/>
        <w:rPr/>
      </w:pPr>
      <w:r>
        <w:rPr>
          <w:rFonts w:ascii="Liberation Serif" w:hAnsi="Liberation Serif" w:eastAsia="DejaVu Sans" w:cs="DejaVu Sans"/>
          <w:color w:val="000000"/>
          <w:sz w:val="20"/>
          <w:szCs w:val="20"/>
          <w:lang w:val="en-US" w:eastAsia="en-US" w:bidi="en-US"/>
        </w:rPr>
        <w:t>FIDIC 8.1: ngày khởi công do bên giao thầu thông báo trước tối thiểu 07 ngày; FIDIC 2.1: quyền tiếp cận công trường theo giai đoạn phù hợp tiến độ. Bỏ điều kiện “bàn giao toàn bộ mặt bằng” vì mâu thuẫn với việc bàn giao hố đào theo giai đoạn (4.1.2(iv), 11.2) và có thể làm ngày bắt đầu treo vô thời hạn.</w:t>
      </w:r>
    </w:p>
  </w:comment>
  <w:comment w:id="10" w:author="VNCN E&amp;C - Thương thảo 17/10" w:date="2026-10-19T03:59:03Z" w:initials="TT">
    <w:p>
      <w:pPr>
        <w:overflowPunct w:val="true"/>
        <w:rPr/>
      </w:pPr>
      <w:r>
        <w:rPr>
          <w:rFonts w:ascii="Liberation Serif" w:hAnsi="Liberation Serif" w:eastAsia="DejaVu Sans" w:cs="DejaVu Sans"/>
          <w:color w:val="000000"/>
          <w:sz w:val="20"/>
          <w:szCs w:val="20"/>
          <w:lang w:val="en-US" w:eastAsia="en-US" w:bidi="en-US"/>
        </w:rPr>
        <w:t>Thương thảo 17/10 – 7.2: tạm ứng chậm tối thiểu 10 ngày làm việc, còn lại đồng ý với PH. Chậm tạm ứng chỉ xử lý tại đây, không đưa thêm vào căn cứ gia hạn để tránh tính hai lần.</w:t>
      </w:r>
    </w:p>
  </w:comment>
  <w:comment w:id="11" w:author="VNCN E&amp;C - Thương thảo 17/10" w:date="2026-10-19T03:59:03Z" w:initials="TT">
    <w:p>
      <w:pPr>
        <w:overflowPunct w:val="true"/>
        <w:rPr/>
      </w:pPr>
      <w:r>
        <w:rPr>
          <w:rFonts w:ascii="Liberation Serif" w:hAnsi="Liberation Serif" w:eastAsia="DejaVu Sans" w:cs="DejaVu Sans"/>
          <w:color w:val="000000"/>
          <w:sz w:val="20"/>
          <w:szCs w:val="20"/>
          <w:lang w:val="en-US" w:eastAsia="en-US" w:bidi="en-US"/>
        </w:rPr>
        <w:t>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2" w:author="VNCN E&amp;C - Thương thảo 17/10" w:date="2026-10-19T03:59:04Z" w:initials="TT">
    <w:p>
      <w:pPr>
        <w:overflowPunct w:val="true"/>
        <w:rPr/>
      </w:pPr>
      <w:r>
        <w:rPr>
          <w:rFonts w:ascii="Liberation Serif" w:hAnsi="Liberation Serif" w:eastAsia="DejaVu Sans" w:cs="DejaVu Sans"/>
          <w:color w:val="000000"/>
          <w:sz w:val="20"/>
          <w:szCs w:val="20"/>
          <w:lang w:val="en-US" w:eastAsia="en-US" w:bidi="en-US"/>
        </w:rPr>
        <w:t>7.3 a, b, c chuyển về Điều 18.3 (hậu quả chậm tiến độ chỉ quy định tại Điều 18); 7.3c theo câu chữ biên bản 17/10.</w:t>
      </w:r>
    </w:p>
  </w:comment>
  <w:comment w:id="13" w:author="Ban Kinh tế &amp; Quản lý Hợp đồng" w:date="2026-10-15T09:02:00Z" w:initials="BKt&amp;QlHđ">
    <w:p>
      <w:pPr>
        <w:overflowPunct w:val="false"/>
        <w:rPr/>
      </w:pPr>
      <w:r>
        <w:rPr>
          <w:rFonts w:ascii="Liberation Serif" w:hAnsi="Liberation Serif" w:eastAsia="DejaVu Sans" w:cs="DejaVu Sans"/>
          <w:sz w:val="24"/>
          <w:lang w:val="en-US" w:eastAsia="en-US" w:bidi="en-US"/>
        </w:rPr>
        <w:t>Đề nghị Tổng thầu làm rõ việc mua bảo hiểm này và Phương án thanh toán bảo hiểm khi có sự cố</w:t>
      </w:r>
    </w:p>
  </w:comment>
  <w:comment w:id="14" w:author="Ban Kinh tế &amp; Quản lý Hợp đồng" w:date="2026-10-15T18:09:00Z" w:initials="BKt&amp;QlHđ">
    <w:p>
      <w:pPr>
        <w:overflowPunct w:val="false"/>
        <w:rPr/>
      </w:pPr>
      <w:r>
        <w:rPr>
          <w:rFonts w:ascii="Liberation Serif" w:hAnsi="Liberation Serif" w:eastAsia="DejaVu Sans" w:cs="DejaVu Sans"/>
          <w:sz w:val="24"/>
          <w:lang w:val="en-US" w:eastAsia="en-US" w:bidi="en-US"/>
        </w:rPr>
        <w:t>Hồ sơ bảo hiểm bên thứ 3 hợp đồng Tổng thầu với CĐT sẽ quy định</w:t>
      </w:r>
    </w:p>
  </w:comment>
  <w:comment w:id="15" w:author="VNCN E&amp;C - Thương thảo 17/10" w:date="2026-10-19T03:59:06Z" w:initials="TT">
    <w:p>
      <w:pPr>
        <w:overflowPunct w:val="true"/>
        <w:rPr/>
      </w:pPr>
      <w:r>
        <w:rPr>
          <w:rFonts w:ascii="Liberation Serif" w:hAnsi="Liberation Serif" w:eastAsia="DejaVu Sans" w:cs="DejaVu Sans"/>
          <w:color w:val="000000"/>
          <w:sz w:val="20"/>
          <w:szCs w:val="20"/>
          <w:lang w:val="en-US" w:eastAsia="en-US" w:bidi="en-US"/>
        </w:rPr>
        <w:t>Thương thảo 17/10 – 8.2: bảo hành 36 tháng; giữ nguyên ràng buộc không ngắn hơn thời hạn theo Hợp đồng thầu chính.</w:t>
      </w:r>
    </w:p>
  </w:comment>
  <w:comment w:id="16" w:author="VNCN E&amp;C - Đề xuất theo FIDIC" w:date="2026-10-19T03:59:48Z" w:initials="FD">
    <w:p>
      <w:pPr>
        <w:overflowPunct w:val="false"/>
        <w:rPr/>
      </w:pPr>
      <w:r>
        <w:rPr>
          <w:rFonts w:ascii="Liberation Serif" w:hAnsi="Liberation Serif" w:eastAsia="DejaVu Sans" w:cs="DejaVu Sans"/>
          <w:color w:val="000000"/>
          <w:sz w:val="20"/>
          <w:szCs w:val="20"/>
          <w:lang w:val="en-US" w:eastAsia="en-US" w:bidi="en-US"/>
        </w:rPr>
        <w:t>FIDIC 11.1, 11.4: nhà thầu sửa sai sót trong thời hạn hợp lý, nếu không bên giao thầu được tự sửa và thu chi phí. 03 ngày để khớp cam kết của Bên A với Chủ đầu tư.</w:t>
      </w:r>
    </w:p>
  </w:comment>
  <w:comment w:id="18" w:author="Ban Kinh tế &amp; Quản lý Hợp đồng" w:date="2026-10-15T18:16:00Z" w:initials="BKt&amp;QlHđ">
    <w:p>
      <w:pPr>
        <w:overflowPunct w:val="false"/>
        <w:rPr/>
      </w:pPr>
      <w:r>
        <w:rPr>
          <w:rFonts w:ascii="Liberation Serif" w:hAnsi="Liberation Serif" w:eastAsia="DejaVu Sans" w:cs="DejaVu Sans"/>
          <w:sz w:val="24"/>
          <w:lang w:val="en-US" w:eastAsia="en-US" w:bidi="en-US"/>
        </w:rPr>
        <w:t>Chờ Cập nhật lại số liệu thầu sau khi thống nhất phạm vi</w:t>
      </w:r>
    </w:p>
  </w:comment>
  <w:comment w:id="17" w:author="VNCN E&amp;C - Thương thảo 17/10" w:date="2026-10-19T03:59:04Z" w:initials="TT">
    <w:p>
      <w:pPr>
        <w:overflowPunct w:val="true"/>
        <w:rPr/>
      </w:pPr>
      <w:r>
        <w:rPr>
          <w:rFonts w:ascii="Liberation Serif" w:hAnsi="Liberation Serif" w:eastAsia="DejaVu Sans" w:cs="DejaVu Sans"/>
          <w:color w:val="000000"/>
          <w:sz w:val="20"/>
          <w:szCs w:val="20"/>
          <w:lang w:val="en-US" w:eastAsia="en-US" w:bidi="en-US"/>
        </w:rPr>
        <w:t>Cập nhật theo Biểu 01 ngày 15.10.2026 (đáp ứng ý kiến PH “chờ cập nhật số liệu”); còn chờ chốt chiết khấu 164.702 đ.</w:t>
      </w:r>
    </w:p>
  </w:comment>
  <w:comment w:id="19" w:author="VNCN E&amp;C - Thương thảo 17/10" w:date="2026-10-19T03:59:04Z" w:initials="TT">
    <w:p>
      <w:pPr>
        <w:overflowPunct w:val="true"/>
        <w:rPr/>
      </w:pPr>
      <w:r>
        <w:rPr>
          <w:rFonts w:ascii="Liberation Serif" w:hAnsi="Liberation Serif" w:eastAsia="DejaVu Sans" w:cs="DejaVu Sans"/>
          <w:color w:val="000000"/>
          <w:sz w:val="20"/>
          <w:szCs w:val="20"/>
          <w:lang w:val="en-US" w:eastAsia="en-US" w:bidi="en-US"/>
        </w:rPr>
        <w:t>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20" w:author="Ban Kinh tế &amp; Quản lý Hợp đồng" w:date="2026-10-15T09:44:00Z" w:initials="BKt&amp;QlHđ">
    <w:p>
      <w:pPr>
        <w:overflowPunct w:val="false"/>
        <w:rPr/>
      </w:pPr>
      <w:r>
        <w:rPr>
          <w:rFonts w:ascii="Liberation Serif" w:hAnsi="Liberation Serif" w:eastAsia="DejaVu Sans" w:cs="DejaVu Sans"/>
          <w:sz w:val="24"/>
          <w:lang w:val="en-US" w:eastAsia="en-US" w:bidi="en-US"/>
        </w:rPr>
        <w:t>Phạm vi quan trắc của Tổng thầu</w:t>
      </w:r>
    </w:p>
  </w:comment>
  <w:comment w:id="21" w:author="Ban Kinh tế &amp; Quản lý Hợp đồng" w:date="2026-10-15T09:45:00Z" w:initials="BKt&amp;QlHđ">
    <w:p>
      <w:pPr>
        <w:overflowPunct w:val="false"/>
        <w:rPr/>
      </w:pPr>
      <w:r>
        <w:rPr>
          <w:rFonts w:ascii="Liberation Serif" w:hAnsi="Liberation Serif" w:eastAsia="DejaVu Sans" w:cs="DejaVu Sans"/>
          <w:sz w:val="24"/>
          <w:lang w:val="en-US" w:eastAsia="en-US" w:bidi="en-US"/>
        </w:rPr>
        <w:t>HĐ TVGS với CĐT không phải với Tổng thầu</w:t>
      </w:r>
    </w:p>
  </w:comment>
  <w:comment w:id="22" w:author="VNCN E&amp;C - Thương thảo 17/10" w:date="2026-10-19T03:59:04Z" w:initials="TT">
    <w:p>
      <w:pPr>
        <w:overflowPunct w:val="true"/>
        <w:rPr/>
      </w:pPr>
      <w:r>
        <w:rPr>
          <w:rFonts w:ascii="Liberation Serif" w:hAnsi="Liberation Serif" w:eastAsia="DejaVu Sans" w:cs="DejaVu Sans"/>
          <w:color w:val="000000"/>
          <w:sz w:val="20"/>
          <w:szCs w:val="20"/>
          <w:lang w:val="en-US" w:eastAsia="en-US" w:bidi="en-US"/>
        </w:rPr>
        <w:t>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23" w:author="VNCN E&amp;C - Thương thảo 17/10" w:date="2026-10-19T03:59:04Z" w:initials="TT">
    <w:p>
      <w:pPr>
        <w:overflowPunct w:val="true"/>
        <w:rPr/>
      </w:pPr>
      <w:r>
        <w:rPr>
          <w:rFonts w:ascii="Liberation Serif" w:hAnsi="Liberation Serif" w:eastAsia="DejaVu Sans" w:cs="DejaVu Sans"/>
          <w:color w:val="000000"/>
          <w:sz w:val="20"/>
          <w:szCs w:val="20"/>
          <w:lang w:val="en-US" w:eastAsia="en-US" w:bidi="en-US"/>
        </w:rPr>
        <w:t>Thương thảo 17/10 – 10.4: bỏ lãi chậm thanh toán, giữ như EC ban đầu. Danh mục hồ sơ quyết toán chuyển về Điều 14.1 (trước đây lặp 2 lần tại 10.3.2 và Điều 19).</w:t>
      </w:r>
    </w:p>
  </w:comment>
  <w:comment w:id="24" w:author="VNCN E&amp;C - Thương thảo 17/10" w:date="2026-10-19T03:59:04Z" w:initials="TT">
    <w:p>
      <w:pPr>
        <w:overflowPunct w:val="true"/>
        <w:rPr/>
      </w:pPr>
      <w:r>
        <w:rPr>
          <w:rFonts w:ascii="Liberation Serif" w:hAnsi="Liberation Serif" w:eastAsia="DejaVu Sans" w:cs="DejaVu Sans"/>
          <w:color w:val="000000"/>
          <w:sz w:val="20"/>
          <w:szCs w:val="20"/>
          <w:lang w:val="en-US" w:eastAsia="en-US" w:bidi="en-US"/>
        </w:rPr>
        <w:t>Thống nhất tiền bảo hành 05% (8.2, 10.3.2 và 19.3 trước đây lệch 05%/03%).</w:t>
      </w:r>
    </w:p>
  </w:comment>
  <w:comment w:id="25" w:author="VNCN E&amp;C - Thương thảo 17/10" w:date="2026-10-19T03:59:04Z" w:initials="TT">
    <w:p>
      <w:pPr>
        <w:overflowPunct w:val="true"/>
        <w:rPr/>
      </w:pPr>
      <w:r>
        <w:rPr>
          <w:rFonts w:ascii="Liberation Serif" w:hAnsi="Liberation Serif" w:eastAsia="DejaVu Sans" w:cs="DejaVu Sans"/>
          <w:color w:val="000000"/>
          <w:sz w:val="20"/>
          <w:szCs w:val="20"/>
          <w:lang w:val="en-US" w:eastAsia="en-US" w:bidi="en-US"/>
        </w:rPr>
        <w:t>Thương thảo 17/10: đồng ý bỏ 10.7 theo PH. 10.10 (bù trừ) gộp vào 3.5; 10.8, 10.9 đánh lại 10.7, 10.8.</w:t>
      </w:r>
    </w:p>
  </w:comment>
  <w:comment w:id="26" w:author="VNCN E&amp;C - Thương thảo 17/10" w:date="2026-10-19T03:59:04Z" w:initials="TT">
    <w:p>
      <w:pPr>
        <w:overflowPunct w:val="true"/>
        <w:rPr/>
      </w:pPr>
      <w:r>
        <w:rPr>
          <w:rFonts w:ascii="Liberation Serif" w:hAnsi="Liberation Serif" w:eastAsia="DejaVu Sans" w:cs="DejaVu Sans"/>
          <w:color w:val="000000"/>
          <w:sz w:val="20"/>
          <w:szCs w:val="20"/>
          <w:lang w:val="en-US" w:eastAsia="en-US" w:bidi="en-US"/>
        </w:rPr>
        <w:t>Thương thảo 17/10 – 11.2.h: chuyển về Điều 17.1 điểm c (chi phí dừng chờ). 11.1 “tạm giữ khoản tiền” bỏ vì trùng 10.8.</w:t>
      </w:r>
    </w:p>
  </w:comment>
  <w:comment w:id="27" w:author="VNCN E&amp;C - Thương thảo 17/10" w:date="2026-10-19T03:59:05Z" w:initials="TT">
    <w:p>
      <w:pPr>
        <w:overflowPunct w:val="true"/>
        <w:rPr/>
      </w:pPr>
      <w:r>
        <w:rPr>
          <w:rFonts w:ascii="Liberation Serif" w:hAnsi="Liberation Serif" w:eastAsia="DejaVu Sans" w:cs="DejaVu Sans"/>
          <w:color w:val="000000"/>
          <w:sz w:val="20"/>
          <w:szCs w:val="20"/>
          <w:lang w:val="en-US" w:eastAsia="en-US" w:bidi="en-US"/>
        </w:rPr>
        <w:t>Thương thảo 17/10 – 12.1: không đồng ý ý kiến PH (bỏ quyền “chưa thực hiện phát sinh khi chưa ký phụ lục”; nội dung phát sinh quy định tại Điều 15.4, 15.5).</w:t>
      </w:r>
    </w:p>
  </w:comment>
  <w:comment w:id="28" w:author="VNCN E&amp;C - Thương thảo 17/10" w:date="2026-10-19T03:59:05Z" w:initials="TT">
    <w:p>
      <w:pPr>
        <w:overflowPunct w:val="true"/>
        <w:rPr/>
      </w:pPr>
      <w:r>
        <w:rPr>
          <w:rFonts w:ascii="Liberation Serif" w:hAnsi="Liberation Serif" w:eastAsia="DejaVu Sans" w:cs="DejaVu Sans"/>
          <w:color w:val="000000"/>
          <w:sz w:val="20"/>
          <w:szCs w:val="20"/>
          <w:lang w:val="en-US" w:eastAsia="en-US" w:bidi="en-US"/>
        </w:rPr>
        <w:t>Thương thảo 17/10 – 12.2.10: đồng ý PH (không quy định máy phát dự phòng). 12.2.1: đồng ý PH; 12.2.1f chỉ bổ sung câu dẫn chiếu nguyên tắc khắc phục, bồi thường chung của Điều 18.</w:t>
      </w:r>
    </w:p>
  </w:comment>
  <w:comment w:id="29" w:author="VNCN E&amp;C - Thương thảo 17/10" w:date="2026-10-19T03:59:05Z" w:initials="TT">
    <w:p>
      <w:pPr>
        <w:overflowPunct w:val="true"/>
        <w:rPr/>
      </w:pPr>
      <w:r>
        <w:rPr>
          <w:rFonts w:ascii="Liberation Serif" w:hAnsi="Liberation Serif" w:eastAsia="DejaVu Sans" w:cs="DejaVu Sans"/>
          <w:color w:val="000000"/>
          <w:sz w:val="20"/>
          <w:szCs w:val="20"/>
          <w:lang w:val="en-US" w:eastAsia="en-US" w:bidi="en-US"/>
        </w:rPr>
        <w:t>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31" w:author="VNCN E&amp;C - Thương thảo 17/10" w:date="2026-10-19T03:59:05Z" w:initials="TT">
    <w:p>
      <w:pPr>
        <w:overflowPunct w:val="true"/>
        <w:rPr/>
      </w:pPr>
      <w:r>
        <w:rPr>
          <w:rFonts w:ascii="Liberation Serif" w:hAnsi="Liberation Serif" w:eastAsia="DejaVu Sans" w:cs="DejaVu Sans"/>
          <w:color w:val="000000"/>
          <w:sz w:val="20"/>
          <w:szCs w:val="20"/>
          <w:lang w:val="en-US" w:eastAsia="en-US" w:bidi="en-US"/>
        </w:rPr>
        <w:t>Thương thảo 17/10 – 7.2: phần gia hạn tạm thời giữ nguyên theo PH, đưa về đúng Điều 15.1. Chậm tạm ứng đã xử lý tại 7.2 (ngày bắt đầu) nên ở đây chỉ còn chậm thanh toán, tránh tính hai lần.</w:t>
      </w:r>
    </w:p>
  </w:comment>
  <w:comment w:id="30" w:author="VNCN E&amp;C - Đề xuất theo FIDIC" w:date="2026-10-19T03:59:48Z" w:initials="FD">
    <w:p>
      <w:pPr>
        <w:overflowPunct w:val="false"/>
        <w:rPr/>
      </w:pPr>
      <w:r>
        <w:rPr>
          <w:rFonts w:ascii="Liberation Serif" w:hAnsi="Liberation Serif" w:eastAsia="DejaVu Sans" w:cs="DejaVu Sans"/>
          <w:color w:val="000000"/>
          <w:sz w:val="20"/>
          <w:szCs w:val="20"/>
          <w:lang w:val="en-US" w:eastAsia="en-US" w:bidi="en-US"/>
        </w:rPr>
        <w:t>FIDIC 8.4 (2017: 8.5): chỉ gia hạn theo ảnh hưởng thực tế đến thời hạn hoàn thành; thời tiết chỉ khi “bất lợi bất thường”. FIDIC 20.1 (2017: 20.2): thông báo trong 28 ngày, quá hạn mất quyền (đề xuất 14 ngày). Bỏ “chậm phê duyệt đơn giá phát sinh” (đã có cơ chế đơn giá tạm tính tại 15.4) và “các trường hợp khác”; chậm thanh toán chỉ được gia hạn khi Bên B thực tế tạm dừng (FIDIC 16.1).</w:t>
      </w:r>
    </w:p>
  </w:comment>
  <w:comment w:id="32" w:author="VNCN E&amp;C - Thương thảo 17/10" w:date="2026-10-19T03:59:05Z" w:initials="TT">
    <w:p>
      <w:pPr>
        <w:overflowPunct w:val="true"/>
        <w:rPr/>
      </w:pPr>
      <w:r>
        <w:rPr>
          <w:rFonts w:ascii="Liberation Serif" w:hAnsi="Liberation Serif" w:eastAsia="DejaVu Sans" w:cs="DejaVu Sans"/>
          <w:color w:val="000000"/>
          <w:sz w:val="20"/>
          <w:szCs w:val="20"/>
          <w:lang w:val="en-US" w:eastAsia="en-US" w:bidi="en-US"/>
        </w:rPr>
        <w:t>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33" w:author="VNCN E&amp;C - Đề xuất theo FIDIC" w:date="2026-10-19T03:59:48Z" w:initials="FD">
    <w:p>
      <w:pPr>
        <w:overflowPunct w:val="false"/>
        <w:rPr/>
      </w:pPr>
      <w:r>
        <w:rPr>
          <w:rFonts w:ascii="Liberation Serif" w:hAnsi="Liberation Serif" w:eastAsia="DejaVu Sans" w:cs="DejaVu Sans"/>
          <w:color w:val="000000"/>
          <w:sz w:val="20"/>
          <w:szCs w:val="20"/>
          <w:lang w:val="en-US" w:eastAsia="en-US" w:bidi="en-US"/>
        </w:rPr>
        <w:t>FIDIC 13.8 (2017: 13.7): điều chỉnh giá theo chỉ số được công bố, có ngưỡng; pháp luật về hợp đồng xây dựng phân biệt đơn giá cố định và đơn giá điều chỉnh nên 9.1 phải ghi rõ thép, bê tông là đơn giá điều chỉnh. Dùng chỉ số Sở Xây dựng thay cho báo giá nhà cung cấp do Bên B chọn; ngưỡng ±10%; không điều chỉnh tăng cho phần chậm do lỗi Bên B; trần theo mức CĐT chấp thuận.</w:t>
      </w:r>
    </w:p>
  </w:comment>
  <w:comment w:id="34" w:author="VNCN E&amp;C - Đề xuất theo FIDIC" w:date="2026-10-19T03:59:48Z" w:initials="FD">
    <w:p>
      <w:pPr>
        <w:overflowPunct w:val="false"/>
        <w:rPr/>
      </w:pPr>
      <w:r>
        <w:rPr>
          <w:rFonts w:ascii="Liberation Serif" w:hAnsi="Liberation Serif" w:eastAsia="DejaVu Sans" w:cs="DejaVu Sans"/>
          <w:color w:val="000000"/>
          <w:sz w:val="20"/>
          <w:szCs w:val="20"/>
          <w:lang w:val="en-US" w:eastAsia="en-US" w:bidi="en-US"/>
        </w:rPr>
        <w:t>FIDIC 2017 3.7: quá hạn không có ý kiến thì coi như chưa chấp thuận (deemed rejection), ngược với cơ chế “im lặng là chấp thuận” của PH; Điều 393 BLDS. FIDIC 13.3, 12.3: nhà thầu phải thực hiện thay đổi theo chỉ thị, thanh toán tạm theo đơn giá tạm tính khi chưa thống nhất. FIDIC 4.1: biện pháp, công trình tạm thuộc trách nhiệm nhà thầu – thay đổi do nhà thầu tự chọn không phải phát sinh.</w:t>
      </w:r>
    </w:p>
  </w:comment>
  <w:comment w:id="36" w:author="VNCN E&amp;C - Thương thảo 17/10" w:date="2026-10-19T03:59:05Z" w:initials="TT">
    <w:p>
      <w:pPr>
        <w:overflowPunct w:val="true"/>
        <w:rPr/>
      </w:pPr>
      <w:r>
        <w:rPr>
          <w:rFonts w:ascii="Liberation Serif" w:hAnsi="Liberation Serif" w:eastAsia="DejaVu Sans" w:cs="DejaVu Sans"/>
          <w:color w:val="000000"/>
          <w:sz w:val="20"/>
          <w:szCs w:val="20"/>
          <w:lang w:val="en-US" w:eastAsia="en-US" w:bidi="en-US"/>
        </w:rPr>
        <w:t>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35" w:author="VNCN E&amp;C - Đề xuất theo FIDIC" w:date="2026-10-19T03:59:48Z" w:initials="FD">
    <w:p>
      <w:pPr>
        <w:overflowPunct w:val="false"/>
        <w:rPr/>
      </w:pPr>
      <w:r>
        <w:rPr>
          <w:rFonts w:ascii="Liberation Serif" w:hAnsi="Liberation Serif" w:eastAsia="DejaVu Sans" w:cs="DejaVu Sans"/>
          <w:color w:val="000000"/>
          <w:sz w:val="20"/>
          <w:szCs w:val="20"/>
          <w:lang w:val="en-US" w:eastAsia="en-US" w:bidi="en-US"/>
        </w:rPr>
        <w:t>FIDIC 14.6: thời hạn xác nhận thanh toán 28 ngày kể từ khi nhận hồ sơ; FIDIC 16.1: nhà thầu chỉ được tạm dừng sau khi thông báo trước (21 ngày). Bỏ ngoại lệ “không cần báo trước khi Bên A chậm thanh toán”.</w:t>
      </w:r>
    </w:p>
  </w:comment>
  <w:comment w:id="37" w:author="VNCN E&amp;C - Thương thảo 17/10" w:date="2026-10-19T03:59:05Z" w:initials="TT">
    <w:p>
      <w:pPr>
        <w:overflowPunct w:val="true"/>
        <w:rPr/>
      </w:pPr>
      <w:r>
        <w:rPr>
          <w:rFonts w:ascii="Liberation Serif" w:hAnsi="Liberation Serif" w:eastAsia="DejaVu Sans" w:cs="DejaVu Sans"/>
          <w:color w:val="000000"/>
          <w:sz w:val="20"/>
          <w:szCs w:val="20"/>
          <w:lang w:val="en-US" w:eastAsia="en-US" w:bidi="en-US"/>
        </w:rPr>
        <w:t>Gộp 3 nội dung PH để rải rác về một chỗ: 4.2 (Bên A trả dừng chờ do Nhà thầu khác), 11.2.h (điều kiện dừng chờ) và 9.4 (tạm dừng ≥30 ngày). Giữ thống nhất điều kiện 14 ngày, biên bản 24 giờ.</w:t>
      </w:r>
    </w:p>
  </w:comment>
  <w:comment w:id="38" w:author="VNCN E&amp;C - Thương thảo 17/10" w:date="2026-10-19T03:59:05Z" w:initials="TT">
    <w:p>
      <w:pPr>
        <w:overflowPunct w:val="true"/>
        <w:rPr/>
      </w:pPr>
      <w:r>
        <w:rPr>
          <w:rFonts w:ascii="Liberation Serif" w:hAnsi="Liberation Serif" w:eastAsia="DejaVu Sans" w:cs="DejaVu Sans"/>
          <w:color w:val="000000"/>
          <w:sz w:val="20"/>
          <w:szCs w:val="20"/>
          <w:lang w:val="en-US" w:eastAsia="en-US" w:bidi="en-US"/>
        </w:rPr>
        <w:t>Thương thảo 17/10 – 17.2(iv): xác nhận hiện trạng theo quy định nhà nước; giữ nguyên căn cứ Hợp đồng thầu chính bị chấm dứt.</w:t>
      </w:r>
    </w:p>
  </w:comment>
  <w:comment w:id="39" w:author="VNCN E&amp;C - Đề xuất theo FIDIC" w:date="2026-10-19T03:59:48Z" w:initials="FD">
    <w:p>
      <w:pPr>
        <w:overflowPunct w:val="false"/>
        <w:rPr/>
      </w:pPr>
      <w:r>
        <w:rPr>
          <w:rFonts w:ascii="Liberation Serif" w:hAnsi="Liberation Serif" w:eastAsia="DejaVu Sans" w:cs="DejaVu Sans"/>
          <w:color w:val="000000"/>
          <w:sz w:val="20"/>
          <w:szCs w:val="20"/>
          <w:lang w:val="en-US" w:eastAsia="en-US" w:bidi="en-US"/>
        </w:rPr>
        <w:t>FIDIC 15.5: bên giao thầu được chấm dứt hợp đồng vì sự thuận tiện, thanh toán phần đã thực hiện và chi phí giải thể. Bảo vệ Bên A trước rủi ro từ Chủ đầu tư.</w:t>
      </w:r>
    </w:p>
  </w:comment>
  <w:comment w:id="40" w:author="VNCN E&amp;C - Thương thảo 17/10" w:date="2026-10-19T03:59:06Z" w:initials="TT">
    <w:p>
      <w:pPr>
        <w:overflowPunct w:val="true"/>
        <w:rPr/>
      </w:pPr>
      <w:r>
        <w:rPr>
          <w:rFonts w:ascii="Liberation Serif" w:hAnsi="Liberation Serif" w:eastAsia="DejaVu Sans" w:cs="DejaVu Sans"/>
          <w:color w:val="000000"/>
          <w:sz w:val="20"/>
          <w:szCs w:val="20"/>
          <w:lang w:val="en-US" w:eastAsia="en-US" w:bidi="en-US"/>
        </w:rPr>
        <w:t>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41" w:author="VNCN E&amp;C - Thương thảo 17/10" w:date="2026-10-19T03:59:06Z" w:initials="TT">
    <w:p>
      <w:pPr>
        <w:overflowPunct w:val="true"/>
        <w:rPr/>
      </w:pPr>
      <w:r>
        <w:rPr>
          <w:rFonts w:ascii="Liberation Serif" w:hAnsi="Liberation Serif" w:eastAsia="DejaVu Sans" w:cs="DejaVu Sans"/>
          <w:color w:val="000000"/>
          <w:sz w:val="20"/>
          <w:szCs w:val="20"/>
          <w:lang w:val="en-US" w:eastAsia="en-US" w:bidi="en-US"/>
        </w:rPr>
        <w:t>Thương thảo 17/10 – 17.2b(x): sửa theo quy định nhà nước – sự cố xác định theo pháp luật về giải quyết sự cố công trình xây dựng. Pháp chế đối chiếu Nghị định 207/2026/NĐ-CP trước khi ký.</w:t>
      </w:r>
    </w:p>
  </w:comment>
  <w:comment w:id="42" w:author="VNCN E&amp;C - Đề xuất theo FIDIC" w:date="2026-10-19T03:59:48Z" w:initials="FD">
    <w:p>
      <w:pPr>
        <w:overflowPunct w:val="false"/>
        <w:rPr/>
      </w:pPr>
      <w:r>
        <w:rPr>
          <w:rFonts w:ascii="Liberation Serif" w:hAnsi="Liberation Serif" w:eastAsia="DejaVu Sans" w:cs="DejaVu Sans"/>
          <w:color w:val="000000"/>
          <w:sz w:val="20"/>
          <w:szCs w:val="20"/>
          <w:lang w:val="en-US" w:eastAsia="en-US" w:bidi="en-US"/>
        </w:rPr>
        <w:t>FIDIC 15.1, 15.2: không khắc phục theo “thông báo khắc phục” là căn cứ chấm dứt – thay thế điều khoản bao trùm đã bị bỏ, khách quan hơn căn cứ “nhắc nhở lần thứ ba”.</w:t>
      </w:r>
    </w:p>
  </w:comment>
  <w:comment w:id="43" w:author="VNCN E&amp;C - Thương thảo 17/10" w:date="2026-10-19T03:59:06Z" w:initials="TT">
    <w:p>
      <w:pPr>
        <w:overflowPunct w:val="true"/>
        <w:rPr/>
      </w:pPr>
      <w:r>
        <w:rPr>
          <w:rFonts w:ascii="Liberation Serif" w:hAnsi="Liberation Serif" w:eastAsia="DejaVu Sans" w:cs="DejaVu Sans"/>
          <w:color w:val="000000"/>
          <w:sz w:val="20"/>
          <w:szCs w:val="20"/>
          <w:lang w:val="en-US" w:eastAsia="en-US" w:bidi="en-US"/>
        </w:rPr>
        <w:t>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44" w:author="VNCN E&amp;C - Đề xuất theo FIDIC" w:date="2026-10-19T03:59:49Z" w:initials="FD">
    <w:p>
      <w:pPr>
        <w:overflowPunct w:val="false"/>
        <w:rPr/>
      </w:pPr>
      <w:r>
        <w:rPr>
          <w:rFonts w:ascii="Liberation Serif" w:hAnsi="Liberation Serif" w:eastAsia="DejaVu Sans" w:cs="DejaVu Sans"/>
          <w:color w:val="000000"/>
          <w:sz w:val="20"/>
          <w:szCs w:val="20"/>
          <w:lang w:val="en-US" w:eastAsia="en-US" w:bidi="en-US"/>
        </w:rPr>
        <w:t>FIDIC 8.11 (2017: 8.12): chỉ được chấm dứt khi tạm dừng kéo dài quá 84 ngày. 60 ngày cho chậm thanh toán đã tốt hơn FIDIC (42 ngày) cho Bên A – giữ nguyên.</w:t>
      </w:r>
    </w:p>
  </w:comment>
  <w:comment w:id="46" w:author="VNCN E&amp;C - Thương thảo 17/10" w:date="2026-10-19T03:59:06Z" w:initials="TT">
    <w:p>
      <w:pPr>
        <w:overflowPunct w:val="true"/>
        <w:rPr/>
      </w:pPr>
      <w:r>
        <w:rPr>
          <w:rFonts w:ascii="Liberation Serif" w:hAnsi="Liberation Serif" w:eastAsia="DejaVu Sans" w:cs="DejaVu Sans"/>
          <w:color w:val="000000"/>
          <w:sz w:val="20"/>
          <w:szCs w:val="20"/>
          <w:lang w:val="en-US" w:eastAsia="en-US" w:bidi="en-US"/>
        </w:rPr>
        <w:t>Thương thảo 17/10 – Điều 18: bỏ nguyên tắc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45" w:author="VNCN E&amp;C - Đề xuất theo FIDIC" w:date="2026-10-19T03:59:49Z" w:initials="FD">
    <w:p>
      <w:pPr>
        <w:overflowPunct w:val="false"/>
        <w:rPr/>
      </w:pPr>
      <w:r>
        <w:rPr>
          <w:rFonts w:ascii="Liberation Serif" w:hAnsi="Liberation Serif" w:eastAsia="DejaVu Sans" w:cs="DejaVu Sans"/>
          <w:color w:val="000000"/>
          <w:sz w:val="20"/>
          <w:szCs w:val="20"/>
          <w:lang w:val="en-US" w:eastAsia="en-US" w:bidi="en-US"/>
        </w:rPr>
        <w:t>FIDIC 8.7 (2017: 8.8): bồi thường chậm tiến độ có trần nhưng không loại trừ quyền chấm dứt. Điều 302, 307 Luật Thương mại: bồi thường thiệt hại thực tế không bị giới hạn bởi trần phạt – bổ sung câu bảo vệ trong trường hợp trần 10% bị xem xét lại.</w:t>
      </w:r>
    </w:p>
  </w:comment>
  <w:comment w:id="47" w:author="VNCN E&amp;C - Thương thảo 17/10" w:date="2026-10-19T03:59:06Z" w:initials="TT">
    <w:p>
      <w:pPr>
        <w:overflowPunct w:val="true"/>
        <w:rPr/>
      </w:pPr>
      <w:r>
        <w:rPr>
          <w:rFonts w:ascii="Liberation Serif" w:hAnsi="Liberation Serif" w:eastAsia="DejaVu Sans" w:cs="DejaVu Sans"/>
          <w:color w:val="000000"/>
          <w:sz w:val="20"/>
          <w:szCs w:val="20"/>
          <w:lang w:val="en-US" w:eastAsia="en-US" w:bidi="en-US"/>
        </w:rPr>
        <w:t>Thương thảo 17/10 – 18.3: phạt 0,1%/01 ngày; 7.3c theo câu chữ biên bản. Trần riêng phạt tiến độ 08% (theo PH) nằm trong tổng 10%.</w:t>
      </w:r>
    </w:p>
  </w:comment>
  <w:comment w:id="48" w:author="VNCN E&amp;C - Thương thảo 17/10" w:date="2026-10-19T03:59:06Z" w:initials="TT">
    <w:p>
      <w:pPr>
        <w:overflowPunct w:val="true"/>
        <w:rPr/>
      </w:pPr>
      <w:r>
        <w:rPr>
          <w:rFonts w:ascii="Liberation Serif" w:hAnsi="Liberation Serif" w:eastAsia="DejaVu Sans" w:cs="DejaVu Sans"/>
          <w:color w:val="000000"/>
          <w:sz w:val="20"/>
          <w:szCs w:val="20"/>
          <w:lang w:val="en-US" w:eastAsia="en-US" w:bidi="en-US"/>
        </w:rPr>
        <w:t>Gom quyền Bên A tự thực hiện/thuê đơn vị khác (trước đây lặp ở 6.3b, 8.2, 12.2.5, 12.2.8, 12.2.11, 12.2.12) về 18.4. 18.6 đánh lại 18.5 (PH đã bỏ 18.5 cũ); 17.2d(viii) gộp vào 18.5b.</w:t>
      </w:r>
    </w:p>
  </w:comment>
  <w:comment w:id="49" w:author="VNCN E&amp;C - Đề xuất theo FIDIC" w:date="2026-10-19T03:59:49Z" w:initials="FD">
    <w:p>
      <w:pPr>
        <w:overflowPunct w:val="false"/>
        <w:rPr/>
      </w:pPr>
      <w:r>
        <w:rPr>
          <w:rFonts w:ascii="Liberation Serif" w:hAnsi="Liberation Serif" w:eastAsia="DejaVu Sans" w:cs="DejaVu Sans"/>
          <w:color w:val="000000"/>
          <w:sz w:val="20"/>
          <w:szCs w:val="20"/>
          <w:lang w:val="en-US" w:eastAsia="en-US" w:bidi="en-US"/>
        </w:rPr>
        <w:t>Hợp đồng không quy định lãi không có nghĩa là không phải trả lãi: theo Điều 357, 468 BLDS và Điều 306 Luật Thương mại, chậm trả tiền vẫn phải trả lãi theo mức luật định (thường cao hơn lãi tiền gửi). FIDIC 14.8 cũng có lãi chậm thanh toán. Chủ động thỏa thuận mức thấp, có điều kiện loại trừ, có lợi hơn cho Bên A.</w:t>
      </w:r>
    </w:p>
  </w:comment>
  <w:comment w:id="51" w:author="VNCN E&amp;C - Thương thảo 17/10" w:date="2026-10-19T03:59:06Z" w:initials="TT">
    <w:p>
      <w:pPr>
        <w:overflowPunct w:val="true"/>
        <w:rPr/>
      </w:pPr>
      <w:r>
        <w:rPr>
          <w:rFonts w:ascii="Liberation Serif" w:hAnsi="Liberation Serif" w:eastAsia="DejaVu Sans" w:cs="DejaVu Sans"/>
          <w:color w:val="000000"/>
          <w:sz w:val="20"/>
          <w:szCs w:val="20"/>
          <w:lang w:val="en-US" w:eastAsia="en-US" w:bidi="en-US"/>
        </w:rPr>
        <w:t>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50" w:author="VNCN E&amp;C - Đề xuất theo FIDIC" w:date="2026-10-19T03:59:49Z" w:initials="FD">
    <w:p>
      <w:pPr>
        <w:overflowPunct w:val="false"/>
        <w:rPr/>
      </w:pPr>
      <w:r>
        <w:rPr>
          <w:rFonts w:ascii="Liberation Serif" w:hAnsi="Liberation Serif" w:eastAsia="DejaVu Sans" w:cs="DejaVu Sans"/>
          <w:color w:val="000000"/>
          <w:sz w:val="20"/>
          <w:szCs w:val="20"/>
          <w:lang w:val="en-US" w:eastAsia="en-US" w:bidi="en-US"/>
        </w:rPr>
        <w:t>FIDIC 2.4: bên giao thầu chỉ có nghĩa vụ cung cấp bằng chứng hợp lý về bố trí tài chính, không phải bảo lãnh ngân hàng. Thay thế bảo lãnh thanh toán 15% (~32 tỷ đồng). Phương án lùi nếu PH bắt buộc bảo lãnh: giá trị không quá một kỳ thanh toán bình quân, phát hành sau khi Bên B nộp bảo lãnh thực hiện và hoàn thành huy động, giảm dần theo giá trị đã thanh toán.</w:t>
      </w:r>
    </w:p>
  </w:comment>
  <w:comment w:id="52" w:author="Ban Kinh tế &amp; Quản lý Hợp đồng" w:date="2026-10-15T18:50:00Z" w:initials="BKt&amp;QlHđ">
    <w:p>
      <w:pPr>
        <w:overflowPunct w:val="false"/>
        <w:rPr/>
      </w:pPr>
      <w:r>
        <w:rPr>
          <w:rFonts w:ascii="Liberation Serif" w:hAnsi="Liberation Serif" w:eastAsia="DejaVu Sans" w:cs="DejaVu Sans"/>
          <w:sz w:val="24"/>
          <w:lang w:val="en-US" w:eastAsia="en-US" w:bidi="en-US"/>
        </w:rPr>
        <w:t>ĐỀ XUẤT THEO BẢNG EXCEL RIÊNG</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58</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58</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60</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9">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3">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5">
    <w:lvl w:ilvl="0">
      <w:start w:val="1"/>
      <w:numFmt w:val="decimal"/>
      <w:lvlText w:val="I.3.%1."/>
      <w:lvlJc w:val="left"/>
      <w:pPr>
        <w:tabs>
          <w:tab w:val="num" w:pos="0"/>
        </w:tabs>
        <w:ind w:left="1070" w:hanging="360"/>
      </w:pPr>
      <w:rPr>
        <w:smallCaps w:val="false"/>
        <w:caps w:val="false"/>
        <w:dstrike w:val="false"/>
        <w:strike w:val="false"/>
        <w:vertAlign w:val="baseline"/>
        <w:position w:val="0"/>
        <w:sz w:val="22"/>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9">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1">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3">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4">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5">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28">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suppressAutoHyphens w:val="true"/>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suppressAutoHyphens w:val="true"/>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suppressAutoHyphens w:val="true"/>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suppressAutoHyphens w:val="true"/>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suppressAutoHyphens w:val="true"/>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suppressAutoHyphens w:val="true"/>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4"/>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5"/>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8"/>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suppressAutoHyphens w:val="true"/>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7"/>
      </w:numPr>
      <w:suppressAutoHyphens w:val="true"/>
      <w:bidi w:val="0"/>
      <w:spacing w:lineRule="auto" w:line="360" w:before="0" w:after="0"/>
      <w:ind w:firstLine="397" w:left="0"/>
      <w:jc w:val="both"/>
    </w:pPr>
    <w:rPr>
      <w:rFonts w:ascii="Times New Roman" w:hAnsi="Times New Roman" w:eastAsia="Times New Roman" w:cs="Times New Roman"/>
      <w:color w:val="000000"/>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6"/>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2"/>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3"/>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19"/>
      </w:numPr>
    </w:pPr>
    <w:rPr>
      <w:rFonts w:ascii="Times New Roman" w:hAnsi="Times New Roman"/>
      <w:color w:val="000000"/>
      <w:sz w:val="24"/>
      <w:szCs w:val="26"/>
    </w:rPr>
  </w:style>
  <w:style w:type="paragraph" w:styleId="Revision">
    <w:name w:val="Revision"/>
    <w:uiPriority w:val="99"/>
    <w:semiHidden/>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0"/>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4"/>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4"/>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85</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2026-10-19T03:59:55Z</dcterms:modified>
  <cp:revision>254</cp:revision>
  <dc:subject/>
  <dc:title/>
</cp:coreProperties>
</file>

<file path=docProps/custom.xml><?xml version="1.0" encoding="utf-8"?>
<Properties xmlns="http://schemas.openxmlformats.org/officeDocument/2006/custom-properties" xmlns:vt="http://schemas.openxmlformats.org/officeDocument/2006/docPropsVTypes"/>
</file>