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176" w:type="dxa"/>
        <w:tblLayout w:type="fixed"/>
        <w:tblCellMar>
          <w:top w:w="0" w:type="dxa"/>
          <w:left w:w="108" w:type="dxa"/>
          <w:bottom w:w="0" w:type="dxa"/>
          <w:right w:w="108" w:type="dxa"/>
        </w:tblCellMar>
        <w:tblLook w:val="04a0" w:noHBand="0" w:noVBand="1" w:firstColumn="1" w:lastRow="0" w:lastColumn="0" w:firstRow="1"/>
      </w:tblPr>
      <w:tblGrid>
        <w:gridCol w:w="4039"/>
        <w:gridCol w:w="5031"/>
      </w:tblGrid>
      <w:tr>
        <w:trPr/>
        <w:tc>
          <w:tcPr>
            <w:tcW w:w="4039" w:type="dxa"/>
            <w:tcBorders/>
          </w:tcPr>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CÔNG TY CP ĐTXD VÀ KT</w:t>
            </w:r>
          </w:p>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VNCN E&amp;C</w:t>
            </w:r>
          </w:p>
          <w:p>
            <w:pPr>
              <w:pStyle w:val="Normal"/>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w:t>
            </w:r>
          </w:p>
          <w:p>
            <w:pPr>
              <w:pStyle w:val="Subtitle"/>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 xml:space="preserve">Số: </w:t>
            </w:r>
            <w:r>
              <w:rPr>
                <w:rFonts w:cs="Calibri Light" w:ascii="Calibri Light" w:hAnsi="Calibri Light" w:asciiTheme="majorHAnsi" w:cstheme="majorHAnsi" w:hAnsiTheme="majorHAnsi"/>
                <w:color w:themeColor="text1" w:val="000000"/>
                <w:highlight w:val="yellow"/>
              </w:rPr>
              <w:t>……</w:t>
            </w:r>
            <w:r>
              <w:rPr>
                <w:rFonts w:cs="Calibri Light" w:ascii="Calibri Light" w:hAnsi="Calibri Light" w:asciiTheme="majorHAnsi" w:cstheme="majorHAnsi" w:hAnsiTheme="majorHAnsi"/>
                <w:color w:themeColor="text1" w:val="000000"/>
              </w:rPr>
              <w:t>/TTr/EC-YS</w:t>
            </w:r>
          </w:p>
        </w:tc>
        <w:tc>
          <w:tcPr>
            <w:tcW w:w="5031" w:type="dxa"/>
            <w:tcBorders/>
          </w:tcPr>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CỘNG HÒA XÃ HỘI CHỦ NGHĨA VIỆT NAM</w:t>
            </w:r>
          </w:p>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Độc lập – Tự do- Hạnh phúc</w:t>
            </w:r>
          </w:p>
          <w:p>
            <w:pPr>
              <w:pStyle w:val="Normal"/>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 xml:space="preserve">   </w:t>
            </w:r>
            <w:r>
              <w:rPr>
                <w:rFonts w:cs="Calibri Light" w:ascii="Calibri Light" w:hAnsi="Calibri Light" w:asciiTheme="majorHAnsi" w:cstheme="majorHAnsi" w:hAnsiTheme="majorHAnsi"/>
                <w:color w:themeColor="text1" w:val="000000"/>
              </w:rPr>
              <w:t>=====</w:t>
            </w:r>
          </w:p>
          <w:p>
            <w:pPr>
              <w:pStyle w:val="Subtitle"/>
              <w:spacing w:before="0" w:after="120"/>
              <w:ind w:left="0"/>
              <w:jc w:val="right"/>
              <w:rPr>
                <w:rFonts w:ascii="Calibri Light" w:hAnsi="Calibri Light" w:cs="Calibri Light" w:asciiTheme="majorHAnsi" w:cstheme="majorHAnsi" w:hAnsiTheme="majorHAnsi"/>
                <w:iCs/>
                <w:color w:themeColor="text1" w:val="000000"/>
              </w:rPr>
            </w:pPr>
            <w:r>
              <w:rPr>
                <w:rFonts w:cs="Calibri Light" w:ascii="Calibri Light" w:hAnsi="Calibri Light" w:asciiTheme="majorHAnsi" w:cstheme="majorHAnsi" w:hAnsiTheme="majorHAnsi"/>
                <w:iCs/>
                <w:color w:themeColor="text1" w:val="000000"/>
              </w:rPr>
              <w:t>Hà Nội, ngày …… tháng 10 năm 2026</w:t>
            </w:r>
          </w:p>
        </w:tc>
      </w:tr>
    </w:tbl>
    <w:p>
      <w:pPr>
        <w:pStyle w:val="Title"/>
        <w:spacing w:lineRule="auto" w:line="276" w:before="0" w:after="120"/>
        <w:ind w:left="0"/>
        <w:contextualSpacing/>
        <w:jc w:val="center"/>
        <w:rPr>
          <w:rFonts w:cs="Calibri Light" w:cstheme="majorHAnsi"/>
          <w:b/>
          <w:bCs/>
          <w:color w:themeColor="text1" w:val="000000"/>
          <w:sz w:val="32"/>
          <w:szCs w:val="32"/>
        </w:rPr>
      </w:pPr>
      <w:r>
        <w:rPr>
          <w:rFonts w:cs="Calibri Light" w:cstheme="majorHAnsi"/>
          <w:b/>
          <w:bCs/>
          <w:color w:themeColor="text1" w:val="000000"/>
          <w:sz w:val="32"/>
          <w:szCs w:val="32"/>
        </w:rPr>
        <w:t>TỜ TRÌNH</w:t>
      </w:r>
    </w:p>
    <w:tbl>
      <w:tblPr>
        <w:tblW w:w="4900" w:type="pct"/>
        <w:jc w:val="left"/>
        <w:tblInd w:w="198" w:type="dxa"/>
        <w:tblLayout w:type="fixed"/>
        <w:tblCellMar>
          <w:top w:w="0" w:type="dxa"/>
          <w:left w:w="108" w:type="dxa"/>
          <w:bottom w:w="0" w:type="dxa"/>
          <w:right w:w="108" w:type="dxa"/>
        </w:tblCellMar>
        <w:tblLook w:val="04a0" w:noHBand="0" w:noVBand="1" w:firstColumn="1" w:lastRow="0" w:lastColumn="0" w:firstRow="1"/>
      </w:tblPr>
      <w:tblGrid>
        <w:gridCol w:w="1902"/>
        <w:gridCol w:w="6986"/>
      </w:tblGrid>
      <w:tr>
        <w:trPr>
          <w:trHeight w:val="433"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Kính gửi:</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Lãnh đạo Công ty VNCN E&amp;C</w:t>
            </w:r>
          </w:p>
        </w:tc>
      </w:tr>
      <w:tr>
        <w:trPr>
          <w:trHeight w:val="410"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jc w:val="left"/>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Bộ phận gửi:</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BCH Yên Sở</w:t>
            </w:r>
          </w:p>
        </w:tc>
      </w:tr>
      <w:tr>
        <w:trPr>
          <w:trHeight w:val="416"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jc w:val="left"/>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Tên gói thầu: </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Thi công phần ngầm (cừ, văng chống, kết cấu và chống thấm phần ngầm) – Dự án NOXH Yên Sở</w:t>
            </w:r>
          </w:p>
        </w:tc>
      </w:tr>
      <w:tr>
        <w:trPr>
          <w:trHeight w:val="894"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Nội dung:</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Phê duyệt giá trị và các điều kiện chính của Hợp đồng thi công phần ngầm với Công ty CP Xây dựng Phục Hưng Holdings – NOXH Yên Sở</w:t>
            </w:r>
          </w:p>
        </w:tc>
      </w:tr>
    </w:tbl>
    <w:p>
      <w:pPr>
        <w:pStyle w:val="Normal"/>
        <w:spacing w:before="0" w:after="120"/>
        <w:ind w:left="0"/>
        <w:rPr>
          <w:rFonts w:ascii="Calibri Light" w:hAnsi="Calibri Light" w:cs="Calibri Light" w:asciiTheme="majorHAnsi" w:cstheme="majorHAnsi" w:hAnsiTheme="majorHAnsi"/>
          <w:i/>
          <w:i/>
          <w:iCs/>
          <w:color w:themeColor="text1" w:val="000000"/>
        </w:rPr>
      </w:pPr>
      <w:r>
        <w:rPr>
          <w:rFonts w:cs="Calibri Light" w:ascii="Calibri Light" w:hAnsi="Calibri Light" w:asciiTheme="majorHAnsi" w:cstheme="majorHAnsi" w:hAnsiTheme="majorHAnsi"/>
          <w:i/>
          <w:iCs/>
          <w:color w:themeColor="text1" w:val="000000"/>
        </w:rPr>
        <w:t xml:space="preserve">Căn cứ: </w:t>
      </w:r>
    </w:p>
    <w:p>
      <w:pPr>
        <w:pStyle w:val="ListParagraph"/>
        <w:numPr>
          <w:ilvl w:val="0"/>
          <w:numId w:val="0"/>
        </w:numPr>
        <w:spacing w:before="0" w:after="120"/>
        <w:ind w:hanging="0" w:left="0"/>
        <w:contextualSpacing/>
        <w:rPr>
          <w:i/>
          <w:i/>
          <w:iCs/>
          <w:color w:themeColor="text1" w:val="000000"/>
          <w:lang w:val="en-US"/>
        </w:rPr>
      </w:pPr>
      <w:r>
        <w:rPr>
          <w:i/>
          <w:iCs/>
          <w:color w:themeColor="text1" w:val="000000"/>
          <w:lang w:val="en-US"/>
        </w:rPr>
        <w:t xml:space="preserve">- </w:t>
      </w:r>
      <w:r>
        <w:rPr>
          <w:i/>
          <w:iCs/>
          <w:color w:themeColor="text1" w:val="000000"/>
        </w:rPr>
        <w:t>Căn cứ</w:t>
      </w:r>
      <w:r>
        <w:rPr>
          <w:i/>
          <w:iCs/>
          <w:color w:themeColor="text1" w:val="000000"/>
          <w:lang w:val="en-US"/>
        </w:rPr>
        <w:t xml:space="preserve"> H</w:t>
      </w:r>
      <w:r>
        <w:rPr>
          <w:i/>
          <w:iCs/>
          <w:color w:themeColor="text1" w:val="000000"/>
        </w:rPr>
        <w:t xml:space="preserve">ợp </w:t>
      </w:r>
      <w:r>
        <w:rPr>
          <w:i/>
          <w:iCs/>
          <w:color w:themeColor="text1" w:val="000000"/>
          <w:lang w:val="en-US"/>
        </w:rPr>
        <w:t>Đ</w:t>
      </w:r>
      <w:r>
        <w:rPr>
          <w:i/>
          <w:iCs/>
          <w:color w:themeColor="text1" w:val="000000"/>
        </w:rPr>
        <w:t xml:space="preserve">ồng </w:t>
      </w:r>
      <w:r>
        <w:rPr>
          <w:i/>
          <w:iCs/>
          <w:color w:themeColor="text1" w:val="000000"/>
          <w:lang w:val="en-US"/>
        </w:rPr>
        <w:t>T</w:t>
      </w:r>
      <w:r>
        <w:rPr>
          <w:i/>
          <w:iCs/>
          <w:color w:themeColor="text1" w:val="000000"/>
        </w:rPr>
        <w:t xml:space="preserve">ổng </w:t>
      </w:r>
      <w:r>
        <w:rPr>
          <w:i/>
          <w:iCs/>
          <w:color w:themeColor="text1" w:val="000000"/>
          <w:lang w:val="en-US"/>
        </w:rPr>
        <w:t>T</w:t>
      </w:r>
      <w:r>
        <w:rPr>
          <w:i/>
          <w:iCs/>
          <w:color w:themeColor="text1" w:val="000000"/>
        </w:rPr>
        <w:t xml:space="preserve">hầu </w:t>
      </w:r>
      <w:r>
        <w:rPr>
          <w:i/>
          <w:iCs/>
          <w:color w:themeColor="text1" w:val="000000"/>
          <w:lang w:val="en-US"/>
        </w:rPr>
        <w:t>T</w:t>
      </w:r>
      <w:r>
        <w:rPr>
          <w:i/>
          <w:iCs/>
          <w:color w:themeColor="text1" w:val="000000"/>
        </w:rPr>
        <w:t xml:space="preserve">hi </w:t>
      </w:r>
      <w:r>
        <w:rPr>
          <w:i/>
          <w:iCs/>
          <w:color w:themeColor="text1" w:val="000000"/>
          <w:lang w:val="en-US"/>
        </w:rPr>
        <w:t>C</w:t>
      </w:r>
      <w:r>
        <w:rPr>
          <w:i/>
          <w:iCs/>
          <w:color w:themeColor="text1" w:val="000000"/>
        </w:rPr>
        <w:t xml:space="preserve">ông </w:t>
      </w:r>
      <w:r>
        <w:rPr>
          <w:i/>
          <w:iCs/>
          <w:color w:themeColor="text1" w:val="000000"/>
          <w:lang w:val="en-US"/>
        </w:rPr>
        <w:t>X</w:t>
      </w:r>
      <w:r>
        <w:rPr>
          <w:i/>
          <w:iCs/>
          <w:color w:themeColor="text1" w:val="000000"/>
        </w:rPr>
        <w:t xml:space="preserve">ây </w:t>
      </w:r>
      <w:r>
        <w:rPr>
          <w:i/>
          <w:iCs/>
          <w:color w:themeColor="text1" w:val="000000"/>
          <w:lang w:val="en-US"/>
        </w:rPr>
        <w:t>D</w:t>
      </w:r>
      <w:r>
        <w:rPr>
          <w:i/>
          <w:iCs/>
          <w:color w:themeColor="text1" w:val="000000"/>
        </w:rPr>
        <w:t>ựng</w:t>
      </w:r>
      <w:r>
        <w:rPr>
          <w:i/>
          <w:iCs/>
          <w:color w:themeColor="text1" w:val="000000"/>
          <w:lang w:val="en-US"/>
        </w:rPr>
        <w:t xml:space="preserve"> số </w:t>
      </w:r>
      <w:r>
        <w:rPr>
          <w:rFonts w:cs="Calibri Light" w:ascii="Calibri Light" w:hAnsi="Calibri Light" w:asciiTheme="majorHAnsi" w:cstheme="majorHAnsi" w:hAnsiTheme="majorHAnsi"/>
          <w:i/>
          <w:iCs/>
          <w:color w:themeColor="text1" w:val="000000"/>
          <w:lang w:val="en-US"/>
        </w:rPr>
        <w:t>01/2026/HĐTTXL/LDIFT-TP &amp; LD VNCNEC-VH ngày 16/7/2026</w:t>
      </w:r>
      <w:r>
        <w:rPr>
          <w:i/>
          <w:iCs/>
          <w:color w:themeColor="text1" w:val="000000"/>
        </w:rPr>
        <w:t xml:space="preserve"> và chỉ dẫn kỹ thuật của Dự án</w:t>
      </w:r>
      <w:r>
        <w:rPr>
          <w:i/>
          <w:iCs/>
          <w:color w:themeColor="text1" w:val="000000"/>
          <w:lang w:val="en-US"/>
        </w:rPr>
        <w:t xml:space="preserve"> NOXH Yên Sở</w:t>
      </w:r>
      <w:r>
        <w:rPr>
          <w:i/>
          <w:iCs/>
          <w:color w:themeColor="text1" w:val="000000"/>
        </w:rPr>
        <w: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Thông báo trúng thầu số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/2026/CV/EC-XD ngày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/10/2026 gửi Công ty CP Xây dựng Phục Hưng Holdings (giá trúng thầu 214.000.000.000 đồng, chưa VAT);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Tờ trình số 29092026-01/TTr/EC-YS ngày 29/09/2026 về việc phê duyệt đơn vị thi công công tác đất - NOXH Yên Sở đã được phê duyệt;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kết quả thương thảo hợp đồng với Công ty CP Xây dựng Phục Hưng Holdings ngày 17/10/2026 và dự thảo hợp đồng hoàn thiện.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1.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Phạm vi:</w:t>
      </w:r>
      <w:r>
        <w:rPr>
          <w:rFonts w:cs="Calibri Light" w:ascii="Calibri Light" w:hAnsi="Calibri Light" w:asciiTheme="majorHAnsi" w:cstheme="majorHAnsi" w:hAnsiTheme="majorHAnsi"/>
          <w:color w:themeColor="text1" w:val="000000"/>
          <w:lang w:val="en-US"/>
        </w:rPr>
        <w:t xml:space="preserve"> thi công hệ cừ, văng chống; kết cấu BTCT phần ngầm đến cốt ±0.00; bể nước; móng cẩu tháp; chống thấm phần ngầm khối CT1.2 và CT2. Cắt khỏi phạm vi của Phục Hưng: công tác đất (đào, vận chuyển, đắp, đập đầu cọc, san gạt nền) đã giao Hoàng Minh theo Tờ trình 29092026-01; công tác chống mối; cọc khoan nhồi, phá dỡ móng cẩu tháp.</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Giá trúng thầu theo LOA (gồm công tác đất):</w:t>
      </w:r>
      <w:r>
        <w:rPr>
          <w:rFonts w:cs="Calibri Light" w:ascii="Calibri Light" w:hAnsi="Calibri Light" w:asciiTheme="majorHAnsi" w:cstheme="majorHAnsi" w:hAnsiTheme="majorHAnsi"/>
          <w:color w:themeColor="text1" w:val="000000"/>
          <w:lang w:val="en-US"/>
        </w:rPr>
        <w:t xml:space="preserve"> 214.000.000.000 đồng (chưa VAT).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Giá trị hợp đồng mới (tạm tính):</w:t>
      </w:r>
      <w:r>
        <w:rPr>
          <w:rFonts w:cs="Calibri Light" w:ascii="Calibri Light" w:hAnsi="Calibri Light" w:asciiTheme="majorHAnsi" w:cstheme="majorHAnsi" w:hAnsiTheme="majorHAnsi"/>
          <w:color w:themeColor="text1" w:val="000000"/>
          <w:lang w:val="en-US"/>
        </w:rPr>
        <w:t xml:space="preserve"> 200.313.952.392 đồng chưa VAT; 216.339.068.583 đồng đã gồm VAT 8%.</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Chênh lệch:</w:t>
      </w:r>
      <w:r>
        <w:rPr>
          <w:rFonts w:cs="Calibri Light" w:ascii="Calibri Light" w:hAnsi="Calibri Light" w:asciiTheme="majorHAnsi" w:cstheme="majorHAnsi" w:hAnsiTheme="majorHAnsi"/>
          <w:color w:themeColor="text1" w:val="000000"/>
          <w:lang w:val="en-US"/>
        </w:rPr>
        <w:t xml:space="preserve"> giảm 13.686.047.608 đồng, tương đương 6,40% so với giá trúng thầu tại LOA; so với dự toán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 đồng) giảm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Hình thức giá:</w:t>
      </w:r>
      <w:r>
        <w:rPr>
          <w:rFonts w:cs="Calibri Light" w:ascii="Calibri Light" w:hAnsi="Calibri Light" w:asciiTheme="majorHAnsi" w:cstheme="majorHAnsi" w:hAnsiTheme="majorHAnsi"/>
          <w:color w:themeColor="text1" w:val="000000"/>
          <w:lang w:val="en-US"/>
        </w:rPr>
        <w:t xml:space="preserve"> đơn giá cố định, không điều chỉnh theo biến động giá vật tư; thanh toán theo khối lượng thực tế nghiệm thu; chi phí chung, cẩu tháp trọn gói.</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Lưu ý:</w:t>
      </w:r>
      <w:r>
        <w:rPr>
          <w:rFonts w:cs="Calibri Light" w:ascii="Calibri Light" w:hAnsi="Calibri Light" w:asciiTheme="majorHAnsi" w:cstheme="majorHAnsi" w:hAnsiTheme="majorHAnsi"/>
          <w:color w:themeColor="text1" w:val="000000"/>
          <w:lang w:val="en-US"/>
        </w:rPr>
        <w:t xml:space="preserve"> bể nước sinh hoạt, PCCC, xử lý nước thải là khối lượng tạm tính, đơn giá chưa gồm chi phí biện pháp thi công (cừ, văng, chống thấm…), hai bên thống nhất khi có thiết kế bản vẽ thi công – giá trị phần này có thể tăng.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2. Các điều kiện chính của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Tạm ứng:</w:t>
      </w:r>
      <w:r>
        <w:rPr>
          <w:rFonts w:cs="Calibri Light" w:ascii="Calibri Light" w:hAnsi="Calibri Light" w:asciiTheme="majorHAnsi" w:cstheme="majorHAnsi" w:hAnsiTheme="majorHAnsi"/>
          <w:color w:themeColor="text1" w:val="000000"/>
          <w:lang w:val="en-US"/>
        </w:rPr>
        <w:t xml:space="preserve"> Phục Hưng đề xuất tạm ứng hợp đồng 25% giá trị hợp đồng trước VAT (50.078.488.098 đồng) và tạm ứng vật tư.</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Điều kiện:</w:t>
      </w:r>
      <w:r>
        <w:rPr>
          <w:rFonts w:cs="Calibri Light" w:ascii="Calibri Light" w:hAnsi="Calibri Light" w:asciiTheme="majorHAnsi" w:cstheme="majorHAnsi" w:hAnsiTheme="majorHAnsi"/>
          <w:color w:themeColor="text1" w:val="000000"/>
          <w:lang w:val="en-US"/>
        </w:rPr>
        <w:t xml:space="preserve"> bảo lãnh tạm ứng 100% giá trị tạm ứng; Bên A tạm ứng trong 07 ngày làm việc kể từ ngày nhận đủ hồ sơ hợp lệ.</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Thu hồi:</w:t>
      </w:r>
      <w:r>
        <w:rPr>
          <w:rFonts w:cs="Calibri Light" w:ascii="Calibri Light" w:hAnsi="Calibri Light" w:asciiTheme="majorHAnsi" w:cstheme="majorHAnsi" w:hAnsiTheme="majorHAnsi"/>
          <w:color w:themeColor="text1" w:val="000000"/>
          <w:lang w:val="en-US"/>
        </w:rPr>
        <w:t xml:space="preserve"> khấu trừ dần từ đợt thanh toán đầu tiên, thu hết khi khối lượng hoàn thành đạt 75% giá trị hợp đồng.</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Tạm ứng vật tư (Phục Hưng đề xuất):</w:t>
      </w:r>
      <w:r>
        <w:rPr>
          <w:rFonts w:cs="Calibri Light" w:ascii="Calibri Light" w:hAnsi="Calibri Light" w:asciiTheme="majorHAnsi" w:cstheme="majorHAnsi" w:hAnsiTheme="majorHAnsi"/>
          <w:color w:themeColor="text1" w:val="000000"/>
          <w:lang w:val="en-US"/>
        </w:rPr>
        <w:t xml:space="preserve"> thép 7.500.000 đồng/tấn khi có biên bản nghiệm thu vật liệu đầu vào tại công trường; bê tông 1.000.000 đồng/m³ khi có biên bản nghiệm thu sau khi đổ bê tông.</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Ý kiến BCH:</w:t>
      </w:r>
      <w:r>
        <w:rPr>
          <w:rFonts w:cs="Calibri Light" w:ascii="Calibri Light" w:hAnsi="Calibri Light" w:asciiTheme="majorHAnsi" w:cstheme="majorHAnsi" w:hAnsiTheme="majorHAnsi"/>
          <w:color w:themeColor="text1" w:val="000000"/>
          <w:lang w:val="en-US"/>
        </w:rPr>
        <w:t xml:space="preserve"> chấp thuận có điều kiện: mức tạm ứng không vượt đơn giá vật liệu tương ứng tại Biểu 01; thép phải có chứng chỉ, kết quả thí nghiệm đạt và được bảo quản tại công trường; thu hồi toàn bộ vào kỳ thanh toán gần nhất của khối lượng tương ứng; tổng tạm ứng (hợp đồng và vật tư) chưa thu hồi không vượt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Thanh toán:</w:t>
      </w:r>
      <w:r>
        <w:rPr>
          <w:rFonts w:cs="Calibri Light" w:ascii="Calibri Light" w:hAnsi="Calibri Light" w:asciiTheme="majorHAnsi" w:cstheme="majorHAnsi" w:hAnsiTheme="majorHAnsi"/>
          <w:color w:themeColor="text1" w:val="000000"/>
          <w:lang w:val="en-US"/>
        </w:rPr>
        <w:t xml:space="preserve"> hằng tháng đến 90% giá trị nghiệm thu, sau khi trừ thu hồi tạm ứng và các khoản khấu trừ; Bên A xác nhận hồ sơ trong 15 ngày, thanh toán trong 14 ngày kể từ ngày xác nhận; không áp dụng lãi chậm thanh toán.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Quyết toán:</w:t>
      </w:r>
      <w:r>
        <w:rPr>
          <w:rFonts w:cs="Calibri Light" w:ascii="Calibri Light" w:hAnsi="Calibri Light" w:asciiTheme="majorHAnsi" w:cstheme="majorHAnsi" w:hAnsiTheme="majorHAnsi"/>
          <w:color w:themeColor="text1" w:val="000000"/>
          <w:lang w:val="en-US"/>
        </w:rPr>
        <w:t xml:space="preserve"> Phục Hưng nộp hồ sơ trong 30 ngày sau khi hoàn thành; Bên A xác nhận trong 30 ngày, sau khi Chủ đầu tư phê duyệt quyết toán phần việc tương ứng; thanh toán đến 95% giá trị quyết toán trong 30 ngày kể từ ngày xác nhận.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Bảo hành:</w:t>
      </w:r>
      <w:r>
        <w:rPr>
          <w:rFonts w:cs="Calibri Light" w:ascii="Calibri Light" w:hAnsi="Calibri Light" w:asciiTheme="majorHAnsi" w:cstheme="majorHAnsi" w:hAnsiTheme="majorHAnsi"/>
          <w:color w:themeColor="text1" w:val="000000"/>
          <w:lang w:val="en-US"/>
        </w:rPr>
        <w:t xml:space="preserve"> 36 tháng kể từ khi Chủ đầu tư nghiệm thu hoàn thành, không ngắn hơn thời hạn bảo hành theo Hợp đồng thầu chính; giữ lại 5% giá trị quyết toán, hoàn trả trong 30 ngày làm việc sau khi hết thời hạn bảo hành, hoặc thay bằng bảo lãnh bảo hành.</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Bảo lãnh của Phục Hưng:</w:t>
      </w:r>
      <w:r>
        <w:rPr>
          <w:rFonts w:cs="Calibri Light" w:ascii="Calibri Light" w:hAnsi="Calibri Light" w:asciiTheme="majorHAnsi" w:cstheme="majorHAnsi" w:hAnsiTheme="majorHAnsi"/>
          <w:color w:themeColor="text1" w:val="000000"/>
          <w:lang w:val="en-US"/>
        </w:rPr>
        <w:t xml:space="preserve"> bảo lãnh tạm ứng 100%; bảo lãnh thực hiện hợp đồng 5% giá trị hợp đồng (nộp trong 14 ngày kể từ ngày ký); bảo lãnh bảo hành 5% giá trị quyết toán.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Bảo lãnh thanh toán của VNCN E&amp;C:</w:t>
      </w:r>
      <w:r>
        <w:rPr>
          <w:rFonts w:cs="Calibri Light" w:ascii="Calibri Light" w:hAnsi="Calibri Light" w:asciiTheme="majorHAnsi" w:cstheme="majorHAnsi" w:hAnsiTheme="majorHAnsi"/>
          <w:color w:themeColor="text1" w:val="000000"/>
          <w:lang w:val="en-US"/>
        </w:rPr>
        <w:t xml:space="preserve"> không áp dụng (Phục Hưng đề nghị bảo lãnh 15% giá trị hợp đồng, BCH đề xuất không chấp thuận).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Phạt vi phạm:</w:t>
      </w:r>
      <w:r>
        <w:rPr>
          <w:rFonts w:cs="Calibri Light" w:ascii="Calibri Light" w:hAnsi="Calibri Light" w:asciiTheme="majorHAnsi" w:cstheme="majorHAnsi" w:hAnsiTheme="majorHAnsi"/>
          <w:color w:themeColor="text1" w:val="000000"/>
          <w:lang w:val="en-US"/>
        </w:rPr>
        <w:t xml:space="preserve"> chậm tiến độ 0,1%/ngày, tối đa 8%; tổng mức phạt không quá 10%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Nội dung còn để ngỏ:</w:t>
      </w:r>
      <w:r>
        <w:rPr>
          <w:rFonts w:cs="Calibri Light" w:ascii="Calibri Light" w:hAnsi="Calibri Light" w:asciiTheme="majorHAnsi" w:cstheme="majorHAnsi" w:hAnsiTheme="majorHAnsi"/>
          <w:color w:themeColor="text1" w:val="000000"/>
          <w:lang w:val="en-US"/>
        </w:rPr>
        <w:t xml:space="preserve"> tiến độ thực hiện (Điều 7.1).</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3. Đề nghị/ Đề xuất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BCH Yên Sở kính trình Ban Giám đốc phê duyệt: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Phê duyệt giá trị hợp đồng (tạm tính) với Công ty CP Xây dựng Phục Hưng Holdings: 216.339.068.583 đồng (đã gồm VAT 8%), phạm vi không bao gồm công tác đất.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Phê duyệt các điều kiện tạm ứng, thanh toán, quyết toán, bảo hành, bảo lãnh tại mục 2.</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Ký Hợp đồng thi công phần ngầm với Phục Hưng (dự thảo hợp đồng đính kèm) sau khi hai bên thống nhất tiến độ và điều kiện tạm ứng vật tư.</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lang w:val="en-US"/>
        </w:rPr>
      </w:pPr>
      <w:r>
        <w:rPr>
          <w:rFonts w:cs="Calibri Light" w:ascii="Calibri Light" w:hAnsi="Calibri Light" w:asciiTheme="majorHAnsi" w:cstheme="majorHAnsi" w:hAnsiTheme="majorHAnsi"/>
          <w:b/>
          <w:color w:themeColor="text1" w:val="000000"/>
          <w:lang w:val="en-US"/>
        </w:rPr>
        <w:t xml:space="preserve">4. Nguồn kinh phí: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 xml:space="preserve">Chủ </w:t>
      </w:r>
      <w:r>
        <w:rPr>
          <w:rFonts w:cs="Calibri Light" w:ascii="Calibri Light" w:hAnsi="Calibri Light" w:asciiTheme="majorHAnsi" w:cstheme="majorHAnsi" w:hAnsiTheme="majorHAnsi"/>
          <w:bCs/>
          <w:color w:themeColor="text1" w:val="000000"/>
          <w:lang w:val="vi-VN"/>
        </w:rPr>
        <w:t>đầu</w:t>
      </w:r>
      <w:r>
        <w:rPr>
          <w:rFonts w:cs="Calibri Light" w:ascii="Calibri Light" w:hAnsi="Calibri Light" w:asciiTheme="majorHAnsi" w:cstheme="majorHAnsi" w:hAnsiTheme="majorHAnsi"/>
          <w:color w:themeColor="text1" w:val="000000"/>
          <w:lang w:val="vi-VN"/>
        </w:rPr>
        <w:t xml:space="preserve"> tư  </w:t>
      </w:r>
      <w:r>
        <w:rPr>
          <w:rFonts w:eastAsia="Wingdings" w:cs="Wingdings" w:ascii="Wingdings" w:hAnsi="Wingdings"/>
          <w:color w:themeColor="text1" w:val="000000"/>
        </w:rPr>
        <w:sym w:font="Wingdings" w:char="f0fe"/>
      </w:r>
      <w:r>
        <w:rPr>
          <w:rFonts w:cs="Calibri Light" w:ascii="Calibri Light" w:hAnsi="Calibri Light" w:asciiTheme="majorHAnsi" w:cstheme="majorHAnsi" w:hAnsiTheme="majorHAnsi"/>
          <w:color w:themeColor="text1" w:val="000000"/>
          <w:lang w:val="vi-VN"/>
        </w:rPr>
        <w:tab/>
        <w:tab/>
        <w:t xml:space="preserve">Cty E&amp;C </w:t>
      </w:r>
      <w:r>
        <w:rPr>
          <w:rFonts w:eastAsia="Wingdings" w:cs="Wingdings" w:ascii="Wingdings" w:hAnsi="Wingdings"/>
          <w:color w:themeColor="text1" w:val="000000"/>
        </w:rPr>
        <w:sym w:font="Wingdings" w:char="f0fe"/>
      </w:r>
      <w:r>
        <w:rPr>
          <w:rFonts w:cs="Calibri Light" w:ascii="Calibri Light" w:hAnsi="Calibri Light" w:asciiTheme="majorHAnsi" w:cstheme="majorHAnsi" w:hAnsiTheme="majorHAnsi"/>
          <w:color w:themeColor="text1" w:val="000000"/>
          <w:lang w:val="vi-VN"/>
        </w:rPr>
        <w:tab/>
        <w:tab/>
        <w:t>Thầu phụ □</w:t>
        <w:tab/>
        <w:tab/>
        <w:t>Khác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Phương án kinh tế ban đầu:  Có □</w:t>
        <w:tab/>
        <w:tab/>
        <w:t xml:space="preserve"> Không  □   </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lang w:val="en-US"/>
        </w:rPr>
      </w:pPr>
      <w:r>
        <w:rPr>
          <w:rFonts w:cs="Calibri Light" w:ascii="Calibri Light" w:hAnsi="Calibri Light" w:asciiTheme="majorHAnsi" w:cstheme="majorHAnsi" w:hAnsiTheme="majorHAnsi"/>
          <w:b/>
          <w:color w:themeColor="text1" w:val="000000"/>
          <w:lang w:val="en-US"/>
        </w:rPr>
        <w:t xml:space="preserve">5. Đơn vị hạch toán: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Công ty Cổ phần Đầu tư Xây dựng và Kỹ thuật VNCN E&amp;C.</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Kính mong Lãnh đạo Công ty xem xét và phê duyệt.</w:t>
      </w:r>
      <w:r>
        <w:rPr>
          <w:rFonts w:cs="Calibri Light" w:ascii="Calibri Light" w:hAnsi="Calibri Light" w:asciiTheme="majorHAnsi" w:cstheme="majorHAnsi" w:hAnsiTheme="majorHAnsi"/>
          <w:color w:themeColor="text1" w:val="000000"/>
        </w:rPr>
        <w:t xml:space="preserve"> Trân trọng cảm ơn./.</w:t>
      </w:r>
    </w:p>
    <w:tbl>
      <w:tblPr>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86"/>
        <w:gridCol w:w="3016"/>
        <w:gridCol w:w="2969"/>
      </w:tblGrid>
      <w:tr>
        <w:trPr>
          <w:trHeight w:val="1708" w:hRule="atLeast"/>
        </w:trPr>
        <w:tc>
          <w:tcPr>
            <w:tcW w:w="308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t>Tổng Giám Đốc</w:t>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spacing w:before="0" w:after="120"/>
              <w:ind w:left="0"/>
              <w:rPr>
                <w:color w:themeColor="text1" w:val="000000"/>
                <w:sz w:val="20"/>
                <w:szCs w:val="20"/>
                <w:lang w:val="vi-VN" w:eastAsia="vi-VN"/>
              </w:rPr>
            </w:pPr>
            <w:r>
              <w:rPr>
                <w:color w:themeColor="text1" w:val="000000"/>
                <w:sz w:val="20"/>
                <w:szCs w:val="20"/>
                <w:lang w:val="vi-VN" w:eastAsia="vi-VN"/>
              </w:rPr>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tc>
        <w:tc>
          <w:tcPr>
            <w:tcW w:w="301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val="vi-VN" w:eastAsia="vi-VN"/>
              </w:rPr>
              <w:t>Tổng Giám đốc</w:t>
            </w:r>
            <w:r>
              <w:rPr>
                <w:b/>
                <w:color w:themeColor="text1" w:val="000000"/>
                <w:sz w:val="20"/>
                <w:szCs w:val="20"/>
                <w:lang w:eastAsia="vi-VN"/>
              </w:rPr>
              <w:t xml:space="preserve"> </w:t>
            </w:r>
          </w:p>
          <w:p>
            <w:pPr>
              <w:pStyle w:val="Normal"/>
              <w:spacing w:before="0" w:after="120"/>
              <w:ind w:left="0"/>
              <w:jc w:val="center"/>
              <w:rPr>
                <w:b/>
                <w:color w:themeColor="text1" w:val="000000"/>
                <w:sz w:val="20"/>
                <w:szCs w:val="20"/>
                <w:lang w:eastAsia="vi-VN"/>
              </w:rPr>
            </w:pPr>
            <w:r>
              <w:rPr>
                <w:b/>
                <w:color w:themeColor="text1" w:val="000000"/>
                <w:sz w:val="20"/>
                <w:szCs w:val="20"/>
                <w:lang w:eastAsia="vi-VN"/>
              </w:rPr>
              <w:t>Phụ trách Đầu tư và Văn phòng</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iCs/>
                <w:color w:themeColor="text1" w:val="000000"/>
                <w:sz w:val="20"/>
                <w:szCs w:val="20"/>
                <w:lang w:val="vi-VN" w:eastAsia="vi-VN"/>
              </w:rPr>
            </w:pPr>
            <w:r>
              <w:rPr>
                <w:b/>
                <w:iCs/>
                <w:color w:themeColor="text1" w:val="000000"/>
                <w:sz w:val="20"/>
                <w:szCs w:val="20"/>
                <w:lang w:val="vi-VN" w:eastAsia="vi-VN"/>
              </w:rPr>
              <w:t>Vũ Bá Đạt</w:t>
            </w:r>
          </w:p>
        </w:tc>
        <w:tc>
          <w:tcPr>
            <w:tcW w:w="2969"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t>Phụ trách Ban XD</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iCs/>
                <w:color w:themeColor="text1" w:val="000000"/>
                <w:sz w:val="20"/>
                <w:szCs w:val="20"/>
                <w:lang w:val="vi-VN" w:eastAsia="vi-VN"/>
              </w:rPr>
            </w:pPr>
            <w:r>
              <w:rPr>
                <w:b/>
                <w:iCs/>
                <w:color w:themeColor="text1" w:val="000000"/>
                <w:sz w:val="20"/>
                <w:szCs w:val="20"/>
                <w:lang w:val="vi-VN" w:eastAsia="vi-VN"/>
              </w:rPr>
              <w:t>Nguyễn Duy Quang</w:t>
            </w:r>
          </w:p>
        </w:tc>
      </w:tr>
      <w:tr>
        <w:trPr>
          <w:trHeight w:val="1947" w:hRule="atLeast"/>
        </w:trPr>
        <w:tc>
          <w:tcPr>
            <w:tcW w:w="308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eastAsia="vi-VN"/>
              </w:rPr>
              <w:t>Phòng QLKT</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color w:themeColor="text1" w:val="000000"/>
                <w:sz w:val="20"/>
                <w:szCs w:val="20"/>
                <w:lang w:eastAsia="vi-VN"/>
              </w:rPr>
            </w:pPr>
            <w:r>
              <w:rPr>
                <w:b/>
                <w:iCs/>
                <w:color w:themeColor="text1" w:val="000000"/>
                <w:sz w:val="20"/>
                <w:szCs w:val="20"/>
                <w:lang w:eastAsia="vi-VN"/>
              </w:rPr>
              <w:t>Ninh Thị Hồng</w:t>
            </w:r>
          </w:p>
        </w:tc>
        <w:tc>
          <w:tcPr>
            <w:tcW w:w="301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eastAsia="vi-VN"/>
              </w:rPr>
              <w:t xml:space="preserve">Ban XD - </w:t>
            </w:r>
            <w:r>
              <w:rPr>
                <w:b/>
                <w:color w:themeColor="text1" w:val="000000"/>
                <w:sz w:val="20"/>
                <w:szCs w:val="20"/>
                <w:lang w:val="vi-VN" w:eastAsia="vi-VN"/>
              </w:rPr>
              <w:t>Phòng QS</w:t>
            </w:r>
          </w:p>
          <w:p>
            <w:pPr>
              <w:pStyle w:val="Normal"/>
              <w:spacing w:before="0" w:after="120"/>
              <w:ind w:left="0"/>
              <w:jc w:val="center"/>
              <w:rPr>
                <w:b/>
                <w:color w:themeColor="text1" w:val="000000"/>
                <w:sz w:val="18"/>
                <w:szCs w:val="18"/>
                <w:lang w:val="vi-VN" w:eastAsia="vi-VN"/>
              </w:rPr>
            </w:pPr>
            <w:r>
              <w:rPr>
                <w:b/>
                <w:color w:themeColor="text1" w:val="000000"/>
                <w:sz w:val="18"/>
                <w:szCs w:val="18"/>
                <w:lang w:val="vi-VN" w:eastAsia="vi-VN"/>
              </w:rPr>
              <w:t xml:space="preserve">Phụ trách QS      </w:t>
            </w:r>
            <w:r>
              <w:rPr>
                <w:b/>
                <w:color w:themeColor="text1" w:val="000000"/>
                <w:sz w:val="18"/>
                <w:szCs w:val="18"/>
                <w:lang w:eastAsia="vi-VN"/>
              </w:rPr>
              <w:t xml:space="preserve">        </w:t>
            </w:r>
            <w:r>
              <w:rPr>
                <w:b/>
                <w:color w:themeColor="text1" w:val="000000"/>
                <w:sz w:val="18"/>
                <w:szCs w:val="18"/>
                <w:lang w:val="vi-VN" w:eastAsia="vi-VN"/>
              </w:rPr>
              <w:t>Cán bộ QS</w:t>
            </w:r>
          </w:p>
          <w:p>
            <w:pPr>
              <w:pStyle w:val="Normal"/>
              <w:spacing w:before="0" w:after="120"/>
              <w:ind w:left="0"/>
              <w:jc w:val="center"/>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jc w:val="center"/>
              <w:rPr>
                <w:b/>
                <w:color w:themeColor="text1" w:val="000000"/>
                <w:sz w:val="20"/>
                <w:szCs w:val="20"/>
                <w:lang w:eastAsia="vi-VN"/>
              </w:rPr>
            </w:pPr>
            <w:r>
              <w:rPr>
                <w:b/>
                <w:color w:themeColor="text1" w:val="000000"/>
                <w:sz w:val="18"/>
                <w:szCs w:val="18"/>
                <w:lang w:val="vi-VN" w:eastAsia="vi-VN"/>
              </w:rPr>
              <w:t xml:space="preserve">Phạm Thu Hằng  </w:t>
            </w:r>
            <w:r>
              <w:rPr>
                <w:b/>
                <w:color w:themeColor="text1" w:val="000000"/>
                <w:sz w:val="18"/>
                <w:szCs w:val="18"/>
                <w:lang w:eastAsia="vi-VN"/>
              </w:rPr>
              <w:t xml:space="preserve">      </w:t>
            </w:r>
            <w:r>
              <w:rPr>
                <w:b/>
                <w:color w:themeColor="text1" w:val="000000"/>
                <w:sz w:val="18"/>
                <w:szCs w:val="18"/>
                <w:lang w:val="vi-VN" w:eastAsia="vi-VN"/>
              </w:rPr>
              <w:t xml:space="preserve"> Tạ Văn Thùy</w:t>
            </w:r>
          </w:p>
        </w:tc>
        <w:tc>
          <w:tcPr>
            <w:tcW w:w="2969"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eastAsia="vi-VN"/>
              </w:rPr>
              <w:t>BCH Yên Sở</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eastAsia="vi-VN"/>
              </w:rPr>
            </w:pPr>
            <w:r>
              <w:rPr>
                <w:b/>
                <w:color w:themeColor="text1" w:val="000000"/>
                <w:sz w:val="20"/>
                <w:szCs w:val="20"/>
                <w:lang w:val="vi-VN" w:eastAsia="vi-VN"/>
              </w:rPr>
              <w:t xml:space="preserve">Nguyễn </w:t>
            </w:r>
            <w:r>
              <w:rPr>
                <w:b/>
                <w:color w:themeColor="text1" w:val="000000"/>
                <w:sz w:val="20"/>
                <w:szCs w:val="20"/>
                <w:lang w:eastAsia="vi-VN"/>
              </w:rPr>
              <w:t>Hiếu Thảo</w:t>
            </w:r>
          </w:p>
        </w:tc>
      </w:tr>
    </w:tbl>
    <w:p>
      <w:pPr>
        <w:pStyle w:val="Normal"/>
        <w:spacing w:before="0" w:after="120"/>
        <w:ind w:left="0"/>
        <w:jc w:val="left"/>
        <w:rPr>
          <w:rFonts w:ascii="Calibri Light" w:hAnsi="Calibri Light" w:cs="Calibri Light" w:asciiTheme="majorHAnsi" w:cstheme="majorHAnsi" w:hAnsiTheme="majorHAnsi"/>
          <w:b/>
          <w:color w:themeColor="text1" w:val="000000"/>
          <w:sz w:val="20"/>
          <w:szCs w:val="20"/>
          <w:lang w:val="vi-VN"/>
        </w:rPr>
      </w:pPr>
      <w:r>
        <w:rPr>
          <w:rFonts w:cs="Calibri Light" w:ascii="Calibri Light" w:hAnsi="Calibri Light" w:asciiTheme="majorHAnsi" w:cstheme="majorHAnsi" w:hAnsiTheme="majorHAnsi"/>
          <w:b/>
          <w:color w:themeColor="text1" w:val="000000"/>
          <w:sz w:val="20"/>
          <w:szCs w:val="20"/>
          <w:lang w:val="vi-VN"/>
        </w:rPr>
        <w:tab/>
        <w:tab/>
        <w:tab/>
        <w:tab/>
        <w:tab/>
        <w:tab/>
        <w:tab/>
        <w:tab/>
      </w:r>
    </w:p>
    <w:sectPr>
      <w:footerReference w:type="even" r:id="rId2"/>
      <w:footerReference w:type="default" r:id="rId3"/>
      <w:footerReference w:type="first" r:id="rId4"/>
      <w:type w:val="nextPage"/>
      <w:pgSz w:w="11906" w:h="16838"/>
      <w:pgMar w:left="1701" w:right="1134" w:gutter="0" w:header="0" w:top="1134" w:footer="284"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Calibri Light">
    <w:charset w:val="01"/>
    <w:family w:val="roman"/>
    <w:pitch w:val="variable"/>
  </w:font>
  <w:font w:name="Calibri">
    <w:charset w:val="01"/>
    <w:family w:val="roman"/>
    <w:pitch w:val="variable"/>
  </w:font>
  <w:font w:name="Liberation Sans">
    <w:altName w:val="Arial"/>
    <w:charset w:val="01"/>
    <w:family w:val="swiss"/>
    <w:pitch w:val="variable"/>
  </w:font>
  <w:font w:name="Wingdings">
    <w:charset w:val="02"/>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ind w:left="0"/>
      <w:jc w:val="right"/>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……/TTr/EC-YS Giá trị, điều kiện HĐ phần ngầm Phục Hưng – NOXH Yên Sở      Trang</w:t>
    </w:r>
    <w:r>
      <w:rPr>
        <w:rFonts w:cs="Calibri Light" w:ascii="Calibri Light" w:hAnsi="Calibri Light" w:asciiTheme="majorHAnsi" w:cstheme="majorHAnsi" w:hAnsiTheme="majorHAnsi"/>
        <w:sz w:val="18"/>
        <w:szCs w:val="18"/>
        <w:lang w:val="vi-VN"/>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PAGE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lang w:val="vi-VN"/>
      </w:rPr>
      <w:t>/</w:t>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NUMPAGES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ind w:left="0"/>
      <w:jc w:val="right"/>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……/TTr/EC-YS Giá trị, điều kiện HĐ phần ngầm Phục Hưng – NOXH Yên Sở      Trang</w:t>
    </w:r>
    <w:r>
      <w:rPr>
        <w:rFonts w:cs="Calibri Light" w:ascii="Calibri Light" w:hAnsi="Calibri Light" w:asciiTheme="majorHAnsi" w:cstheme="majorHAnsi" w:hAnsiTheme="majorHAnsi"/>
        <w:sz w:val="18"/>
        <w:szCs w:val="18"/>
        <w:lang w:val="vi-VN"/>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PAGE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lang w:val="vi-VN"/>
      </w:rPr>
      <w:t>/</w:t>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NUMPAGES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sz w:val="24"/>
        <w:b/>
        <w:szCs w:val="24"/>
        <w:bCs w:val="false"/>
      </w:rPr>
    </w:lvl>
    <w:lvl w:ilvl="1">
      <w:start w:val="1"/>
      <w:pStyle w:val="Heading2"/>
      <w:numFmt w:val="decimal"/>
      <w:lvlText w:val="%1.%2"/>
      <w:lvlJc w:val="left"/>
      <w:pPr>
        <w:tabs>
          <w:tab w:val="num" w:pos="0"/>
        </w:tabs>
        <w:ind w:left="576" w:hanging="576"/>
      </w:pPr>
      <w:rPr>
        <w:sz w:val="24"/>
        <w:i/>
        <w:szCs w:val="24"/>
        <w:iCs/>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numFmt w:val="bullet"/>
      <w:lvlText w:val="+"/>
      <w:lvlJc w:val="left"/>
      <w:pPr>
        <w:tabs>
          <w:tab w:val="num" w:pos="0"/>
        </w:tabs>
        <w:ind w:left="720" w:hanging="360"/>
      </w:pPr>
      <w:rPr>
        <w:rFonts w:ascii="Times New Roman" w:hAnsi="Times New Roman" w:cs="Times New Roman"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vi-VN" w:eastAsia="zh-CN" w:bidi=""/>
  <w:docVars>
    <w:docVar w:name="__Grammarly_42____i" w:val="H4sIAAAAAAAEAKtWckksSQxILCpxzi/NK1GyMqwFAAEhoTITAAAA"/>
    <w:docVar w:name="__Grammarly_42___1" w:val="H4sIAAAAAAAEAKtWcslP9kxRslIyNDY2sjAyNzQxNDSxNLE0NzVS0lEKTi0uzszPAykwNqoFAEegNyA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Times New Roman"/>
        <w:lang w:val="vi-VN" w:eastAsia="vi-V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d1321"/>
    <w:pPr>
      <w:widowControl/>
      <w:bidi w:val="0"/>
      <w:spacing w:lineRule="auto" w:line="276" w:before="120" w:after="120"/>
      <w:ind w:left="425"/>
      <w:jc w:val="both"/>
    </w:pPr>
    <w:rPr>
      <w:rFonts w:ascii="Times New Roman" w:hAnsi="Times New Roman" w:eastAsia="Calibri" w:cs="Times New Roman"/>
      <w:color w:val="auto"/>
      <w:kern w:val="0"/>
      <w:sz w:val="24"/>
      <w:szCs w:val="24"/>
      <w:lang w:val="en-US" w:eastAsia="en-US" w:bidi="ar-SA"/>
    </w:rPr>
  </w:style>
  <w:style w:type="paragraph" w:styleId="Heading1">
    <w:name w:val="Heading 1"/>
    <w:basedOn w:val="Normal"/>
    <w:next w:val="Normal"/>
    <w:link w:val="Heading1Char"/>
    <w:uiPriority w:val="9"/>
    <w:qFormat/>
    <w:rsid w:val="00df2025"/>
    <w:pPr>
      <w:keepNext w:val="true"/>
      <w:numPr>
        <w:ilvl w:val="0"/>
        <w:numId w:val="1"/>
      </w:numPr>
      <w:spacing w:before="240" w:after="60"/>
      <w:outlineLvl w:val="0"/>
    </w:pPr>
    <w:rPr>
      <w:rFonts w:eastAsia="Times New Roman"/>
      <w:b/>
      <w:kern w:val="2"/>
      <w:lang w:val="vi-VN"/>
    </w:rPr>
  </w:style>
  <w:style w:type="paragraph" w:styleId="Heading2">
    <w:name w:val="Heading 2"/>
    <w:basedOn w:val="Normal"/>
    <w:next w:val="Normal"/>
    <w:link w:val="Heading2Char"/>
    <w:uiPriority w:val="9"/>
    <w:unhideWhenUsed/>
    <w:qFormat/>
    <w:rsid w:val="00d2198a"/>
    <w:pPr>
      <w:keepNext w:val="true"/>
      <w:numPr>
        <w:ilvl w:val="1"/>
        <w:numId w:val="1"/>
      </w:numPr>
      <w:spacing w:before="240" w:after="60"/>
      <w:outlineLvl w:val="1"/>
    </w:pPr>
    <w:rPr>
      <w:rFonts w:eastAsia="Times New Roman"/>
      <w:b/>
      <w:bCs/>
      <w:i/>
      <w:iCs/>
      <w:lang w:val="vi-VN"/>
    </w:rPr>
  </w:style>
  <w:style w:type="paragraph" w:styleId="Heading3">
    <w:name w:val="Heading 3"/>
    <w:basedOn w:val="Normal"/>
    <w:next w:val="Normal"/>
    <w:link w:val="Heading3Char"/>
    <w:uiPriority w:val="9"/>
    <w:semiHidden/>
    <w:unhideWhenUsed/>
    <w:qFormat/>
    <w:rsid w:val="001709e8"/>
    <w:pPr>
      <w:keepNext w:val="true"/>
      <w:numPr>
        <w:ilvl w:val="2"/>
        <w:numId w:val="1"/>
      </w:numPr>
      <w:spacing w:before="240" w:after="60"/>
      <w:outlineLvl w:val="2"/>
    </w:pPr>
    <w:rPr>
      <w:rFonts w:eastAsia="Times New Roman"/>
      <w:b/>
      <w:bCs/>
      <w:sz w:val="26"/>
      <w:szCs w:val="26"/>
    </w:rPr>
  </w:style>
  <w:style w:type="paragraph" w:styleId="Heading4">
    <w:name w:val="Heading 4"/>
    <w:basedOn w:val="Normal"/>
    <w:next w:val="Normal"/>
    <w:link w:val="Heading4Char"/>
    <w:uiPriority w:val="9"/>
    <w:semiHidden/>
    <w:unhideWhenUsed/>
    <w:qFormat/>
    <w:rsid w:val="001709e8"/>
    <w:pPr>
      <w:keepNext w:val="true"/>
      <w:numPr>
        <w:ilvl w:val="3"/>
        <w:numId w:val="1"/>
      </w:numPr>
      <w:spacing w:before="240" w:after="60"/>
      <w:outlineLvl w:val="3"/>
    </w:pPr>
    <w:rPr>
      <w:rFonts w:ascii="Arial" w:hAnsi="Arial" w:eastAsia="Times New Roman"/>
      <w:b/>
      <w:bCs/>
      <w:szCs w:val="28"/>
    </w:rPr>
  </w:style>
  <w:style w:type="paragraph" w:styleId="Heading5">
    <w:name w:val="Heading 5"/>
    <w:basedOn w:val="Normal"/>
    <w:next w:val="Normal"/>
    <w:link w:val="Heading5Char"/>
    <w:uiPriority w:val="9"/>
    <w:semiHidden/>
    <w:unhideWhenUsed/>
    <w:qFormat/>
    <w:rsid w:val="001709e8"/>
    <w:pPr>
      <w:numPr>
        <w:ilvl w:val="4"/>
        <w:numId w:val="1"/>
      </w:numPr>
      <w:spacing w:before="240" w:after="60"/>
      <w:outlineLvl w:val="4"/>
    </w:pPr>
    <w:rPr>
      <w:rFonts w:ascii="Arial" w:hAnsi="Arial" w:eastAsia="Times New Roman"/>
      <w:b/>
      <w:bCs/>
      <w:i/>
      <w:iCs/>
      <w:sz w:val="26"/>
      <w:szCs w:val="26"/>
    </w:rPr>
  </w:style>
  <w:style w:type="paragraph" w:styleId="Heading6">
    <w:name w:val="Heading 6"/>
    <w:basedOn w:val="Normal"/>
    <w:next w:val="Normal"/>
    <w:link w:val="Heading6Char"/>
    <w:uiPriority w:val="9"/>
    <w:semiHidden/>
    <w:unhideWhenUsed/>
    <w:qFormat/>
    <w:rsid w:val="001709e8"/>
    <w:pPr>
      <w:numPr>
        <w:ilvl w:val="5"/>
        <w:numId w:val="1"/>
      </w:numPr>
      <w:spacing w:before="240" w:after="60"/>
      <w:outlineLvl w:val="5"/>
    </w:pPr>
    <w:rPr>
      <w:rFonts w:ascii="Arial" w:hAnsi="Arial" w:eastAsia="Times New Roman"/>
      <w:b/>
      <w:bCs/>
      <w:sz w:val="22"/>
    </w:rPr>
  </w:style>
  <w:style w:type="paragraph" w:styleId="Heading7">
    <w:name w:val="Heading 7"/>
    <w:basedOn w:val="Normal"/>
    <w:next w:val="Normal"/>
    <w:link w:val="Heading7Char"/>
    <w:uiPriority w:val="9"/>
    <w:semiHidden/>
    <w:unhideWhenUsed/>
    <w:qFormat/>
    <w:rsid w:val="001709e8"/>
    <w:pPr>
      <w:numPr>
        <w:ilvl w:val="6"/>
        <w:numId w:val="1"/>
      </w:numPr>
      <w:spacing w:before="240" w:after="60"/>
      <w:outlineLvl w:val="6"/>
    </w:pPr>
    <w:rPr>
      <w:rFonts w:ascii="Arial" w:hAnsi="Arial" w:eastAsia="Times New Roman"/>
    </w:rPr>
  </w:style>
  <w:style w:type="paragraph" w:styleId="Heading8">
    <w:name w:val="Heading 8"/>
    <w:basedOn w:val="Normal"/>
    <w:next w:val="Normal"/>
    <w:link w:val="Heading8Char"/>
    <w:uiPriority w:val="9"/>
    <w:semiHidden/>
    <w:unhideWhenUsed/>
    <w:qFormat/>
    <w:rsid w:val="001709e8"/>
    <w:pPr>
      <w:numPr>
        <w:ilvl w:val="7"/>
        <w:numId w:val="1"/>
      </w:numPr>
      <w:spacing w:before="240" w:after="60"/>
      <w:outlineLvl w:val="7"/>
    </w:pPr>
    <w:rPr>
      <w:rFonts w:ascii="Arial" w:hAnsi="Arial" w:eastAsia="Times New Roman"/>
      <w:i/>
      <w:iCs/>
    </w:rPr>
  </w:style>
  <w:style w:type="paragraph" w:styleId="Heading9">
    <w:name w:val="Heading 9"/>
    <w:basedOn w:val="Normal"/>
    <w:next w:val="Normal"/>
    <w:link w:val="Heading9Char"/>
    <w:uiPriority w:val="9"/>
    <w:semiHidden/>
    <w:unhideWhenUsed/>
    <w:qFormat/>
    <w:rsid w:val="001709e8"/>
    <w:pPr>
      <w:numPr>
        <w:ilvl w:val="8"/>
        <w:numId w:val="1"/>
      </w:numPr>
      <w:spacing w:before="240" w:after="60"/>
      <w:outlineLvl w:val="8"/>
    </w:pPr>
    <w:rPr>
      <w:rFonts w:eastAsia="Times New Roman"/>
      <w:sz w:val="22"/>
    </w:rPr>
  </w:style>
  <w:style w:type="character" w:styleId="DefaultParagraphFont" w:default="1">
    <w:name w:val="Default Paragraph Font"/>
    <w:uiPriority w:val="1"/>
    <w:semiHidden/>
    <w:unhideWhenUsed/>
    <w:qFormat/>
    <w:rPr/>
  </w:style>
  <w:style w:type="character" w:styleId="BalloonTextChar" w:customStyle="1">
    <w:name w:val="Balloon Text Char"/>
    <w:link w:val="BalloonText"/>
    <w:uiPriority w:val="99"/>
    <w:semiHidden/>
    <w:qFormat/>
    <w:rsid w:val="00667079"/>
    <w:rPr>
      <w:rFonts w:ascii="Tahoma" w:hAnsi="Tahoma" w:cs="Tahoma"/>
      <w:sz w:val="16"/>
      <w:szCs w:val="16"/>
    </w:rPr>
  </w:style>
  <w:style w:type="character" w:styleId="annotationreference">
    <w:name w:val="annotation reference"/>
    <w:uiPriority w:val="99"/>
    <w:semiHidden/>
    <w:unhideWhenUsed/>
    <w:qFormat/>
    <w:rsid w:val="008a5879"/>
    <w:rPr>
      <w:sz w:val="16"/>
      <w:szCs w:val="16"/>
    </w:rPr>
  </w:style>
  <w:style w:type="character" w:styleId="CommentTextChar" w:customStyle="1">
    <w:name w:val="Comment Text Char"/>
    <w:basedOn w:val="DefaultParagraphFont"/>
    <w:link w:val="AnnotationText"/>
    <w:uiPriority w:val="99"/>
    <w:semiHidden/>
    <w:qFormat/>
    <w:rsid w:val="008a5879"/>
    <w:rPr/>
  </w:style>
  <w:style w:type="character" w:styleId="CommentSubjectChar" w:customStyle="1">
    <w:name w:val="Comment Subject Char"/>
    <w:link w:val="annotationsubject"/>
    <w:uiPriority w:val="99"/>
    <w:semiHidden/>
    <w:qFormat/>
    <w:rsid w:val="008a5879"/>
    <w:rPr>
      <w:b/>
      <w:bCs/>
    </w:rPr>
  </w:style>
  <w:style w:type="character" w:styleId="Heading1Char" w:customStyle="1">
    <w:name w:val="Heading 1 Char"/>
    <w:link w:val="Heading1"/>
    <w:uiPriority w:val="9"/>
    <w:qFormat/>
    <w:rsid w:val="00df2025"/>
    <w:rPr>
      <w:rFonts w:eastAsia="Times New Roman"/>
      <w:b/>
      <w:kern w:val="2"/>
      <w:sz w:val="24"/>
      <w:szCs w:val="24"/>
      <w:lang w:eastAsia="en-US"/>
    </w:rPr>
  </w:style>
  <w:style w:type="character" w:styleId="Heading2Char" w:customStyle="1">
    <w:name w:val="Heading 2 Char"/>
    <w:link w:val="Heading2"/>
    <w:uiPriority w:val="9"/>
    <w:qFormat/>
    <w:rsid w:val="00d2198a"/>
    <w:rPr>
      <w:rFonts w:eastAsia="Times New Roman"/>
      <w:b/>
      <w:bCs/>
      <w:i/>
      <w:iCs/>
      <w:sz w:val="24"/>
      <w:szCs w:val="24"/>
      <w:lang w:eastAsia="en-US"/>
    </w:rPr>
  </w:style>
  <w:style w:type="character" w:styleId="Heading3Char" w:customStyle="1">
    <w:name w:val="Heading 3 Char"/>
    <w:link w:val="Heading3"/>
    <w:uiPriority w:val="9"/>
    <w:semiHidden/>
    <w:qFormat/>
    <w:rsid w:val="001709e8"/>
    <w:rPr>
      <w:rFonts w:eastAsia="Times New Roman"/>
      <w:b/>
      <w:bCs/>
      <w:sz w:val="26"/>
      <w:szCs w:val="26"/>
      <w:lang w:val="en-US" w:eastAsia="en-US"/>
    </w:rPr>
  </w:style>
  <w:style w:type="character" w:styleId="Heading4Char" w:customStyle="1">
    <w:name w:val="Heading 4 Char"/>
    <w:link w:val="Heading4"/>
    <w:uiPriority w:val="9"/>
    <w:semiHidden/>
    <w:qFormat/>
    <w:rsid w:val="001709e8"/>
    <w:rPr>
      <w:rFonts w:ascii="Arial" w:hAnsi="Arial" w:eastAsia="Times New Roman"/>
      <w:b/>
      <w:bCs/>
      <w:sz w:val="24"/>
      <w:szCs w:val="28"/>
      <w:lang w:val="en-US" w:eastAsia="en-US"/>
    </w:rPr>
  </w:style>
  <w:style w:type="character" w:styleId="Heading5Char" w:customStyle="1">
    <w:name w:val="Heading 5 Char"/>
    <w:link w:val="Heading5"/>
    <w:uiPriority w:val="9"/>
    <w:semiHidden/>
    <w:qFormat/>
    <w:rsid w:val="001709e8"/>
    <w:rPr>
      <w:rFonts w:ascii="Arial" w:hAnsi="Arial" w:eastAsia="Times New Roman"/>
      <w:b/>
      <w:bCs/>
      <w:i/>
      <w:iCs/>
      <w:sz w:val="26"/>
      <w:szCs w:val="26"/>
      <w:lang w:val="en-US" w:eastAsia="en-US"/>
    </w:rPr>
  </w:style>
  <w:style w:type="character" w:styleId="Heading6Char" w:customStyle="1">
    <w:name w:val="Heading 6 Char"/>
    <w:link w:val="Heading6"/>
    <w:uiPriority w:val="9"/>
    <w:semiHidden/>
    <w:qFormat/>
    <w:rsid w:val="001709e8"/>
    <w:rPr>
      <w:rFonts w:ascii="Arial" w:hAnsi="Arial" w:eastAsia="Times New Roman"/>
      <w:b/>
      <w:bCs/>
      <w:sz w:val="22"/>
      <w:szCs w:val="24"/>
      <w:lang w:val="en-US" w:eastAsia="en-US"/>
    </w:rPr>
  </w:style>
  <w:style w:type="character" w:styleId="Heading7Char" w:customStyle="1">
    <w:name w:val="Heading 7 Char"/>
    <w:link w:val="Heading7"/>
    <w:uiPriority w:val="9"/>
    <w:semiHidden/>
    <w:qFormat/>
    <w:rsid w:val="001709e8"/>
    <w:rPr>
      <w:rFonts w:ascii="Arial" w:hAnsi="Arial" w:eastAsia="Times New Roman"/>
      <w:sz w:val="24"/>
      <w:szCs w:val="24"/>
      <w:lang w:val="en-US" w:eastAsia="en-US"/>
    </w:rPr>
  </w:style>
  <w:style w:type="character" w:styleId="Heading8Char" w:customStyle="1">
    <w:name w:val="Heading 8 Char"/>
    <w:link w:val="Heading8"/>
    <w:uiPriority w:val="9"/>
    <w:semiHidden/>
    <w:qFormat/>
    <w:rsid w:val="001709e8"/>
    <w:rPr>
      <w:rFonts w:ascii="Arial" w:hAnsi="Arial" w:eastAsia="Times New Roman"/>
      <w:i/>
      <w:iCs/>
      <w:sz w:val="24"/>
      <w:szCs w:val="24"/>
      <w:lang w:val="en-US" w:eastAsia="en-US"/>
    </w:rPr>
  </w:style>
  <w:style w:type="character" w:styleId="Heading9Char" w:customStyle="1">
    <w:name w:val="Heading 9 Char"/>
    <w:link w:val="Heading9"/>
    <w:uiPriority w:val="9"/>
    <w:semiHidden/>
    <w:qFormat/>
    <w:rsid w:val="001709e8"/>
    <w:rPr>
      <w:rFonts w:eastAsia="Times New Roman"/>
      <w:sz w:val="22"/>
      <w:szCs w:val="24"/>
      <w:lang w:val="en-US" w:eastAsia="en-US"/>
    </w:rPr>
  </w:style>
  <w:style w:type="character" w:styleId="HeaderChar" w:customStyle="1">
    <w:name w:val="Header Char"/>
    <w:link w:val="Header"/>
    <w:uiPriority w:val="99"/>
    <w:qFormat/>
    <w:rsid w:val="00002225"/>
    <w:rPr>
      <w:sz w:val="28"/>
      <w:szCs w:val="22"/>
      <w:lang w:val="en-US" w:eastAsia="en-US"/>
    </w:rPr>
  </w:style>
  <w:style w:type="character" w:styleId="FooterChar" w:customStyle="1">
    <w:name w:val="Footer Char"/>
    <w:link w:val="Footer"/>
    <w:uiPriority w:val="99"/>
    <w:qFormat/>
    <w:rsid w:val="00002225"/>
    <w:rPr>
      <w:sz w:val="28"/>
      <w:szCs w:val="22"/>
      <w:lang w:val="en-US" w:eastAsia="en-US"/>
    </w:rPr>
  </w:style>
  <w:style w:type="character" w:styleId="TitleChar" w:customStyle="1">
    <w:name w:val="Title Char"/>
    <w:basedOn w:val="DefaultParagraphFont"/>
    <w:link w:val="Title"/>
    <w:uiPriority w:val="10"/>
    <w:qFormat/>
    <w:rsid w:val="008a414b"/>
    <w:rPr>
      <w:rFonts w:ascii="Calibri Light" w:hAnsi="Calibri Light" w:eastAsia="等线 Light" w:cs="" w:asciiTheme="majorHAnsi" w:cstheme="majorBidi" w:eastAsiaTheme="majorEastAsia" w:hAnsiTheme="majorHAnsi"/>
      <w:spacing w:val="-10"/>
      <w:kern w:val="2"/>
      <w:sz w:val="56"/>
      <w:szCs w:val="56"/>
      <w:lang w:val="en-US" w:eastAsia="en-US"/>
    </w:rPr>
  </w:style>
  <w:style w:type="character" w:styleId="SubtitleChar" w:customStyle="1">
    <w:name w:val="Subtitle Char"/>
    <w:basedOn w:val="DefaultParagraphFont"/>
    <w:link w:val="Subtitle"/>
    <w:uiPriority w:val="11"/>
    <w:qFormat/>
    <w:rsid w:val="000f526b"/>
    <w:rPr>
      <w:rFonts w:ascii="Calibri" w:hAnsi="Calibri" w:eastAsia="等线" w:cs="" w:asciiTheme="minorHAnsi" w:cstheme="minorBidi" w:eastAsiaTheme="minorEastAsia" w:hAnsiTheme="minorHAnsi"/>
      <w:color w:themeColor="text1" w:themeTint="a5" w:val="5A5A5A"/>
      <w:sz w:val="22"/>
      <w:szCs w:val="22"/>
      <w:lang w:val="en-US" w:eastAsia="en-US"/>
    </w:rPr>
  </w:style>
  <w:style w:type="character" w:styleId="Strong">
    <w:name w:val="Strong"/>
    <w:basedOn w:val="DefaultParagraphFont"/>
    <w:uiPriority w:val="22"/>
    <w:qFormat/>
    <w:rsid w:val="00925851"/>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fc6665"/>
    <w:pPr>
      <w:numPr>
        <w:ilvl w:val="0"/>
        <w:numId w:val="2"/>
      </w:numPr>
      <w:spacing w:before="120" w:after="0"/>
      <w:contextualSpacing/>
    </w:pPr>
    <w:rPr>
      <w:bCs/>
      <w:lang w:val="vi-VN"/>
    </w:rPr>
  </w:style>
  <w:style w:type="paragraph" w:styleId="BalloonText">
    <w:name w:val="Balloon Text"/>
    <w:basedOn w:val="Normal"/>
    <w:link w:val="BalloonTextChar"/>
    <w:uiPriority w:val="99"/>
    <w:semiHidden/>
    <w:unhideWhenUsed/>
    <w:qFormat/>
    <w:rsid w:val="00667079"/>
    <w:pPr>
      <w:spacing w:lineRule="auto" w:line="240" w:before="120" w:after="0"/>
    </w:pPr>
    <w:rPr>
      <w:rFonts w:ascii="Tahoma" w:hAnsi="Tahoma"/>
      <w:sz w:val="16"/>
      <w:szCs w:val="16"/>
      <w:lang w:val="x-none" w:eastAsia="x-none"/>
    </w:rPr>
  </w:style>
  <w:style w:type="paragraph" w:styleId="AnnotationText">
    <w:name w:val="Annotation Text"/>
    <w:basedOn w:val="Normal"/>
    <w:link w:val="CommentTextChar"/>
    <w:uiPriority w:val="99"/>
    <w:semiHidden/>
    <w:unhideWhenUsed/>
    <w:rsid w:val="008a5879"/>
    <w:pPr/>
    <w:rPr>
      <w:sz w:val="20"/>
      <w:szCs w:val="20"/>
    </w:rPr>
  </w:style>
  <w:style w:type="paragraph" w:styleId="annotationsubject">
    <w:name w:val="annotation subject"/>
    <w:basedOn w:val="AnnotationText"/>
    <w:next w:val="AnnotationText"/>
    <w:link w:val="CommentSubjectChar"/>
    <w:uiPriority w:val="99"/>
    <w:semiHidden/>
    <w:unhideWhenUsed/>
    <w:qFormat/>
    <w:rsid w:val="008a587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002225"/>
    <w:pPr>
      <w:tabs>
        <w:tab w:val="clear" w:pos="720"/>
        <w:tab w:val="center" w:pos="4513" w:leader="none"/>
        <w:tab w:val="right" w:pos="9026" w:leader="none"/>
      </w:tabs>
    </w:pPr>
    <w:rPr/>
  </w:style>
  <w:style w:type="paragraph" w:styleId="Footer">
    <w:name w:val="Footer"/>
    <w:basedOn w:val="Normal"/>
    <w:link w:val="FooterChar"/>
    <w:uiPriority w:val="99"/>
    <w:unhideWhenUsed/>
    <w:rsid w:val="00002225"/>
    <w:pPr>
      <w:tabs>
        <w:tab w:val="clear" w:pos="720"/>
        <w:tab w:val="center" w:pos="4513" w:leader="none"/>
        <w:tab w:val="right" w:pos="9026" w:leader="none"/>
      </w:tabs>
    </w:pPr>
    <w:rPr/>
  </w:style>
  <w:style w:type="paragraph" w:styleId="Title">
    <w:name w:val="Title"/>
    <w:basedOn w:val="Normal"/>
    <w:next w:val="Normal"/>
    <w:link w:val="TitleChar"/>
    <w:uiPriority w:val="10"/>
    <w:qFormat/>
    <w:rsid w:val="008a414b"/>
    <w:pPr>
      <w:spacing w:lineRule="auto" w:line="240" w:before="0" w:after="0"/>
      <w:contextualSpacing/>
    </w:pPr>
    <w:rPr>
      <w:rFonts w:ascii="Calibri Light" w:hAnsi="Calibri Light" w:eastAsia="等线 Light"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f526b"/>
    <w:pPr>
      <w:spacing w:before="120" w:after="160"/>
      <w:ind w:left="425"/>
    </w:pPr>
    <w:rPr>
      <w:rFonts w:ascii="Calibri" w:hAnsi="Calibri" w:eastAsia="等线" w:cs="" w:asciiTheme="minorHAnsi" w:cstheme="minorBidi" w:eastAsiaTheme="minorEastAsia" w:hAnsiTheme="minorHAnsi"/>
      <w:color w:themeColor="text1" w:themeTint="a5" w:val="5A5A5A"/>
      <w:sz w:val="22"/>
      <w:szCs w:val="22"/>
    </w:rPr>
  </w:style>
  <w:style w:type="paragraph" w:styleId="Revision">
    <w:name w:val="Revision"/>
    <w:uiPriority w:val="99"/>
    <w:semiHidden/>
    <w:qFormat/>
    <w:rsid w:val="00cd6b09"/>
    <w:pPr>
      <w:widowControl/>
      <w:bidi w:val="0"/>
      <w:spacing w:before="0" w:after="0"/>
      <w:jc w:val="left"/>
    </w:pPr>
    <w:rPr>
      <w:rFonts w:ascii="Times New Roman" w:hAnsi="Times New Roman" w:eastAsia="Calibri" w:cs="Times New Roman"/>
      <w:color w:val="auto"/>
      <w:kern w:val="0"/>
      <w:sz w:val="24"/>
      <w:szCs w:val="24"/>
      <w:lang w:val="en-US" w:eastAsia="en-US" w:bidi="ar-SA"/>
    </w:rPr>
  </w:style>
  <w:style w:type="paragraph" w:styleId="NoSpacing">
    <w:name w:val="No Spacing"/>
    <w:uiPriority w:val="1"/>
    <w:qFormat/>
    <w:rsid w:val="00e04ea4"/>
    <w:pPr>
      <w:widowControl/>
      <w:bidi w:val="0"/>
      <w:spacing w:before="0" w:after="0"/>
      <w:ind w:left="425"/>
      <w:jc w:val="both"/>
    </w:pPr>
    <w:rPr>
      <w:rFonts w:ascii="Times New Roman" w:hAnsi="Times New Roman" w:eastAsia="Calibri"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1477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7895872-C08B-4701-9072-C72C2DA01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Application>LibreOffice/24.2.7.2$Linux_X86_64 LibreOffice_project/420$Build-2</Application>
  <AppVersion>15.0000</AppVersion>
  <Pages>2</Pages>
  <Words>692</Words>
  <Characters>2487</Characters>
  <CharactersWithSpaces>3178</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2026-09-28T10:09:00Z</dcterms:created>
  <dc:creator>Windows User</dc:creator>
  <dc:description/>
  <dc:language>en-US</dc:language>
  <cp:lastModifiedBy/>
  <cp:lastPrinted>2026-09-28T11:07:00Z</cp:lastPrinted>
  <dcterms:modified xsi:type="dcterms:W3CDTF">2026-10-20T08:15:31Z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6debd0db07cce4020ee9c16085f17013fbfa3e6c698199328677c3bad46dd92f</vt:lpwstr>
  </property>
</Properties>
</file>