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76"/>
        <w:jc w:val="left"/>
      </w:pPr>
      <w:r>
        <w:rPr>
          <w:rFonts w:ascii="Times New Roman" w:cs="Times New Roman" w:eastAsia="Times New Roman" w:hAnsi="Times New Roman"/>
          <w:b/>
          <w:bCs/>
          <w:sz w:val="25"/>
          <w:szCs w:val="25"/>
        </w:rPr>
        <w:t xml:space="preserve">CÔNG TY CP ĐTXD VÀ KT VNCN E&amp;C – BCH YÊN SỞ</w:t>
      </w:r>
    </w:p>
    <w:p>
      <w:pPr>
        <w:spacing w:after="40" w:before="200"/>
        <w:jc w:val="center"/>
      </w:pPr>
      <w:r>
        <w:rPr>
          <w:rFonts w:ascii="Times New Roman" w:cs="Times New Roman" w:eastAsia="Times New Roman" w:hAnsi="Times New Roman"/>
          <w:b/>
          <w:bCs/>
          <w:sz w:val="30"/>
          <w:szCs w:val="30"/>
        </w:rPr>
        <w:t xml:space="preserve">BÁO CÁO</w:t>
      </w:r>
    </w:p>
    <w:p>
      <w:pPr>
        <w:spacing w:after="80" w:line="276"/>
        <w:jc w:val="center"/>
      </w:pPr>
      <w:r>
        <w:rPr>
          <w:rFonts w:ascii="Times New Roman" w:cs="Times New Roman" w:eastAsia="Times New Roman" w:hAnsi="Times New Roman"/>
          <w:b/>
          <w:bCs/>
          <w:sz w:val="25"/>
          <w:szCs w:val="25"/>
        </w:rPr>
        <w:t xml:space="preserve">Rà soát bản chốt ký HĐKT VNCN E&amp;C – Hoàng Minh (V1 ngày 11/10/2026)</w:t>
      </w:r>
    </w:p>
    <w:p>
      <w:pPr>
        <w:spacing w:after="80" w:line="276"/>
        <w:jc w:val="center"/>
      </w:pPr>
      <w:r>
        <w:rPr>
          <w:rFonts w:ascii="Times New Roman" w:cs="Times New Roman" w:eastAsia="Times New Roman" w:hAnsi="Times New Roman"/>
          <w:b/>
          <w:bCs/>
          <w:sz w:val="25"/>
          <w:szCs w:val="25"/>
        </w:rPr>
        <w:t xml:space="preserve">so với yêu cầu tại bản R10.1 của anh Quang</w:t>
      </w:r>
    </w:p>
    <w:p>
      <w:pPr>
        <w:spacing w:after="160"/>
        <w:jc w:val="center"/>
      </w:pPr>
      <w:r>
        <w:rPr>
          <w:rFonts w:ascii="Times New Roman" w:cs="Times New Roman" w:eastAsia="Times New Roman" w:hAnsi="Times New Roman"/>
          <w:i/>
          <w:iCs/>
          <w:sz w:val="25"/>
          <w:szCs w:val="25"/>
        </w:rPr>
        <w:t xml:space="preserve">Kính gửi: Anh Nguyễn Duy Quang – Tổng Giám đốc</w:t>
      </w:r>
    </w:p>
    <w:p>
      <w:pPr>
        <w:keepNext/>
        <w:spacing w:after="80" w:before="180"/>
        <w:jc w:val="both"/>
      </w:pPr>
      <w:r>
        <w:rPr>
          <w:rFonts w:ascii="Times New Roman" w:cs="Times New Roman" w:eastAsia="Times New Roman" w:hAnsi="Times New Roman"/>
          <w:b/>
          <w:bCs/>
          <w:sz w:val="25"/>
          <w:szCs w:val="25"/>
        </w:rPr>
        <w:t xml:space="preserve">1. Phạm vi rà soát</w:t>
      </w:r>
    </w:p>
    <w:p>
      <w:pPr>
        <w:spacing w:after="80" w:line="276"/>
        <w:jc w:val="both"/>
      </w:pPr>
      <w:r>
        <w:rPr>
          <w:rFonts w:ascii="Times New Roman" w:cs="Times New Roman" w:eastAsia="Times New Roman" w:hAnsi="Times New Roman"/>
          <w:sz w:val="25"/>
          <w:szCs w:val="25"/>
        </w:rPr>
        <w:t xml:space="preserve">So sánh toàn văn bản chốt ký V1 (11/10/2026) với bản R10.1 của anh (đã bỏ các nội dung anh gạch xóa), có tính đến chủ trương thống nhất ngày 10/10/2026: không thể hiện bentonite, bỏ các điều khoản GPS, Bên A không làm đường tạm cho HM. Toàn bộ khác biệt được thể hiện bằng track changes trong file đính kèm “11-10 HĐKT Hoàng Minh – So sánh bản chốt ký với bản AQ (track changes)”.</w:t>
      </w:r>
    </w:p>
    <w:p>
      <w:pPr>
        <w:keepNext/>
        <w:spacing w:after="80" w:before="180"/>
        <w:jc w:val="both"/>
      </w:pPr>
      <w:r>
        <w:rPr>
          <w:rFonts w:ascii="Times New Roman" w:cs="Times New Roman" w:eastAsia="Times New Roman" w:hAnsi="Times New Roman"/>
          <w:b/>
          <w:bCs/>
          <w:sz w:val="25"/>
          <w:szCs w:val="25"/>
        </w:rPr>
        <w:t xml:space="preserve">2. Kết luận chung</w:t>
      </w:r>
    </w:p>
    <w:p>
      <w:pPr>
        <w:pStyle w:val="ListParagraph"/>
        <w:numPr>
          <w:ilvl w:val="0"/>
          <w:numId w:val="2"/>
        </w:numPr>
        <w:spacing w:after="40" w:line="276"/>
        <w:jc w:val="both"/>
      </w:pPr>
      <w:r>
        <w:rPr>
          <w:rFonts w:ascii="Times New Roman" w:cs="Times New Roman" w:eastAsia="Times New Roman" w:hAnsi="Times New Roman"/>
          <w:b/>
          <w:bCs/>
          <w:sz w:val="25"/>
          <w:szCs w:val="25"/>
        </w:rPr>
        <w:t xml:space="preserve">Đạt theo chủ trương: </w:t>
      </w:r>
      <w:r>
        <w:rPr>
          <w:rFonts w:ascii="Times New Roman" w:cs="Times New Roman" w:eastAsia="Times New Roman" w:hAnsi="Times New Roman"/>
          <w:sz w:val="25"/>
          <w:szCs w:val="25"/>
        </w:rPr>
        <w:t xml:space="preserve">đã bỏ bentonite, QCVN 07 và yêu cầu tự phân định; bỏ GPS, camera, tài khoản hành trình; bỏ nghĩa vụ làm đường tạm (HM tự chọn biện pháp tiếp cận, quá 24 giờ không khắc phục thì Bên A thuê đơn vị khác).</w:t>
      </w:r>
    </w:p>
    <w:p>
      <w:pPr>
        <w:pStyle w:val="ListParagraph"/>
        <w:numPr>
          <w:ilvl w:val="0"/>
          <w:numId w:val="2"/>
        </w:numPr>
        <w:spacing w:after="40" w:line="276"/>
        <w:jc w:val="both"/>
      </w:pPr>
      <w:r>
        <w:rPr>
          <w:rFonts w:ascii="Times New Roman" w:cs="Times New Roman" w:eastAsia="Times New Roman" w:hAnsi="Times New Roman"/>
          <w:b/>
          <w:bCs/>
          <w:sz w:val="25"/>
          <w:szCs w:val="25"/>
        </w:rPr>
        <w:t xml:space="preserve">Giữ được: </w:t>
      </w:r>
      <w:r>
        <w:rPr>
          <w:rFonts w:ascii="Times New Roman" w:cs="Times New Roman" w:eastAsia="Times New Roman" w:hAnsi="Times New Roman"/>
          <w:sz w:val="25"/>
          <w:szCs w:val="25"/>
        </w:rPr>
        <w:t xml:space="preserve">giá trị HĐ tạm tính 19.970.293.060 đ; tạm ứng 500 triệu và cách thu hồi; thanh toán 90%, 15 ngày làm việc, giữ lại thanh toán sau 60 ngày; phạt 8% và 0,5%/ngày chậm tiến độ; áp dụng đồng thời phạt và bồi thường (15.3); phối hợp với nhà thầu kết cấu (8.9); bổ sung có lợi cho Bên A tại 8.4(e) và hoàn trả tạm ứng trong 05 ngày.</w:t>
      </w:r>
    </w:p>
    <w:p>
      <w:pPr>
        <w:pStyle w:val="ListParagraph"/>
        <w:numPr>
          <w:ilvl w:val="0"/>
          <w:numId w:val="2"/>
        </w:numPr>
        <w:spacing w:after="40" w:line="276"/>
        <w:jc w:val="both"/>
      </w:pPr>
      <w:r>
        <w:rPr>
          <w:rFonts w:ascii="Times New Roman" w:cs="Times New Roman" w:eastAsia="Times New Roman" w:hAnsi="Times New Roman"/>
          <w:b/>
          <w:bCs/>
          <w:sz w:val="25"/>
          <w:szCs w:val="25"/>
        </w:rPr>
        <w:t xml:space="preserve">Chưa đạt: </w:t>
      </w:r>
      <w:r>
        <w:rPr>
          <w:rFonts w:ascii="Times New Roman" w:cs="Times New Roman" w:eastAsia="Times New Roman" w:hAnsi="Times New Roman"/>
          <w:sz w:val="25"/>
          <w:szCs w:val="25"/>
        </w:rPr>
        <w:t xml:space="preserve">ngoài 3 nội dung theo chủ trương, bản chốt ký còn bỏ hoặc nới 16 điểm so với yêu cầu của anh, trong đó 08 điểm mức Cao làm giảm đáng kể quyền lợi Bên A (bảng mục 3).</w:t>
      </w:r>
    </w:p>
    <w:p>
      <w:pPr>
        <w:keepNext/>
        <w:spacing w:after="80" w:before="180"/>
        <w:jc w:val="both"/>
      </w:pPr>
      <w:r>
        <w:rPr>
          <w:rFonts w:ascii="Times New Roman" w:cs="Times New Roman" w:eastAsia="Times New Roman" w:hAnsi="Times New Roman"/>
          <w:b/>
          <w:bCs/>
          <w:sz w:val="25"/>
          <w:szCs w:val="25"/>
        </w:rPr>
        <w:t xml:space="preserve">3. Các điểm khác với yêu cầu của anh và đánh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350"/>
        <w:gridCol w:w="2350"/>
        <w:gridCol w:w="2350"/>
        <w:gridCol w:w="950"/>
        <w:gridCol w:w="2188"/>
      </w:tblGrid>
      <w:tr>
        <w:trPr>
          <w:cantSplit/>
          <w:tblHeader/>
        </w:trPr>
        <w:tc>
          <w:tcPr>
            <w:tcW w:type="dxa" w:w="4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pPr>
              <w:spacing w:after="20"/>
              <w:jc w:val="center"/>
            </w:pPr>
            <w:r>
              <w:rPr>
                <w:rFonts w:ascii="Times New Roman" w:cs="Times New Roman" w:eastAsia="Times New Roman" w:hAnsi="Times New Roman"/>
                <w:b/>
                <w:bCs/>
                <w:sz w:val="21"/>
                <w:szCs w:val="21"/>
              </w:rPr>
              <w:t xml:space="preserve">TT</w:t>
            </w:r>
          </w:p>
        </w:tc>
        <w:tc>
          <w:tcPr>
            <w:tcW w:type="dxa" w:w="13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pPr>
              <w:spacing w:after="20"/>
              <w:jc w:val="center"/>
            </w:pPr>
            <w:r>
              <w:rPr>
                <w:rFonts w:ascii="Times New Roman" w:cs="Times New Roman" w:eastAsia="Times New Roman" w:hAnsi="Times New Roman"/>
                <w:b/>
                <w:bCs/>
                <w:sz w:val="21"/>
                <w:szCs w:val="21"/>
              </w:rPr>
              <w:t xml:space="preserve">Điều khoản</w:t>
            </w:r>
          </w:p>
        </w:tc>
        <w:tc>
          <w:tcPr>
            <w:tcW w:type="dxa" w:w="23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pPr>
              <w:spacing w:after="20"/>
              <w:jc w:val="center"/>
            </w:pPr>
            <w:r>
              <w:rPr>
                <w:rFonts w:ascii="Times New Roman" w:cs="Times New Roman" w:eastAsia="Times New Roman" w:hAnsi="Times New Roman"/>
                <w:b/>
                <w:bCs/>
                <w:sz w:val="21"/>
                <w:szCs w:val="21"/>
              </w:rPr>
              <w:t xml:space="preserve">Yêu cầu bản anh Q (R10.1)</w:t>
            </w:r>
          </w:p>
        </w:tc>
        <w:tc>
          <w:tcPr>
            <w:tcW w:type="dxa" w:w="23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pPr>
              <w:spacing w:after="20"/>
              <w:jc w:val="center"/>
            </w:pPr>
            <w:r>
              <w:rPr>
                <w:rFonts w:ascii="Times New Roman" w:cs="Times New Roman" w:eastAsia="Times New Roman" w:hAnsi="Times New Roman"/>
                <w:b/>
                <w:bCs/>
                <w:sz w:val="21"/>
                <w:szCs w:val="21"/>
              </w:rPr>
              <w:t xml:space="preserve">Bản chốt ký V1</w:t>
            </w:r>
          </w:p>
        </w:tc>
        <w:tc>
          <w:tcPr>
            <w:tcW w:type="dxa" w:w="950"/>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pPr>
              <w:spacing w:after="20"/>
              <w:jc w:val="center"/>
            </w:pPr>
            <w:r>
              <w:rPr>
                <w:rFonts w:ascii="Times New Roman" w:cs="Times New Roman" w:eastAsia="Times New Roman" w:hAnsi="Times New Roman"/>
                <w:b/>
                <w:bCs/>
                <w:sz w:val="21"/>
                <w:szCs w:val="21"/>
              </w:rPr>
              <w:t xml:space="preserve">Mức</w:t>
            </w:r>
          </w:p>
        </w:tc>
        <w:tc>
          <w:tcPr>
            <w:tcW w:type="dxa" w:w="2188"/>
            <w:tcBorders>
              <w:top w:val="single" w:color="808080" w:sz="4"/>
              <w:left w:val="single" w:color="808080" w:sz="4"/>
              <w:bottom w:val="single" w:color="808080" w:sz="4"/>
              <w:right w:val="single" w:color="808080" w:sz="4"/>
            </w:tcBorders>
            <w:shd w:fill="D9E2F3" w:color="auto" w:val="clear"/>
            <w:tcMar>
              <w:top w:type="dxa" w:w="40"/>
              <w:left w:type="dxa" w:w="70"/>
              <w:bottom w:type="dxa" w:w="40"/>
              <w:right w:type="dxa" w:w="70"/>
            </w:tcMar>
          </w:tcPr>
          <w:p>
            <w:pPr>
              <w:spacing w:after="20"/>
              <w:jc w:val="center"/>
            </w:pPr>
            <w:r>
              <w:rPr>
                <w:rFonts w:ascii="Times New Roman" w:cs="Times New Roman" w:eastAsia="Times New Roman" w:hAnsi="Times New Roman"/>
                <w:b/>
                <w:bCs/>
                <w:sz w:val="21"/>
                <w:szCs w:val="21"/>
              </w:rPr>
              <w:t xml:space="preserve">Ảnh hưởng tới Bên A</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1</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8.3(h); 4.3(d); 8.3(e); 15.3</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Cam kết bồi hoàn, bảo vệ Bên A: HM trực tiếp giải trình, nhận là chủ thể vi phạm; hoàn trả tiền phạt, chi phí khắc phục, luật sư, giám định trong 07 ngày; hiệu lực cả sau thanh lý. Bên A không liên đới.</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Bỏ toàn bộ 8.3(h). 4.3(d) đổi thành “Hiểu rõ công việc trách nhiệm”, bỏ câu Bên A không liên đới. 8.3(e) bỏ câu hoàn trả cho Bên A/CĐT.</w:t>
            </w:r>
          </w:p>
        </w:tc>
        <w:tc>
          <w:tcPr>
            <w:tcW w:type="dxa" w:w="950"/>
            <w:tcBorders>
              <w:top w:val="single" w:color="808080" w:sz="4"/>
              <w:left w:val="single" w:color="808080" w:sz="4"/>
              <w:bottom w:val="single" w:color="808080" w:sz="4"/>
              <w:right w:val="single" w:color="808080" w:sz="4"/>
            </w:tcBorders>
            <w:shd w:fill="F8D7D3"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Cao</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Còn 15.3 và 8.4(e) (bồi thường thiệt hại thực tế, tiền phạt Bên A/CĐT phải nộp). Mất: thời hạn hoàn trả, nghĩa vụ HM tự đứng ra giải trình, hiệu lực sau thanh lý.</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2</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Điều 1, khoản 22–24</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Định nghĩa “Chất Thải”, “Điểm Chuyển Giao”, “Chứng Từ Đổ Thải Hợp Lệ”.</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Xóa cả 3 định nghĩa, nhưng các thuật ngữ vẫn được dùng (“Chất Thải” 7 lần, “Chứng Từ Đổ Thải Hợp Lệ” 6 lần, “Điểm Chuyển Giao” tại Phụ lục B 3.1.4).</w:t>
            </w:r>
          </w:p>
        </w:tc>
        <w:tc>
          <w:tcPr>
            <w:tcW w:type="dxa" w:w="950"/>
            <w:tcBorders>
              <w:top w:val="single" w:color="808080" w:sz="4"/>
              <w:left w:val="single" w:color="808080" w:sz="4"/>
              <w:bottom w:val="single" w:color="808080" w:sz="4"/>
              <w:right w:val="single" w:color="808080" w:sz="4"/>
            </w:tcBorders>
            <w:shd w:fill="F8D7D3"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Cao</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Không xác định được thời điểm rủi ro chuyển sang HM; các điều khoản dùng thuật ngữ này dễ bị tranh cãi khi có sự cố.</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3</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6.2(c)</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Khối lượng mùn khoan = giá trị nhỏ hơn giữa thể tích hình học cọc (Bên A xác nhận) và khối lượng trên chứng từ bãi.</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Bỏ. Khối lượng chỉ xác định bằng đo cao độ trước/sau khi đào.</w:t>
            </w:r>
          </w:p>
        </w:tc>
        <w:tc>
          <w:tcPr>
            <w:tcW w:type="dxa" w:w="950"/>
            <w:tcBorders>
              <w:top w:val="single" w:color="808080" w:sz="4"/>
              <w:left w:val="single" w:color="808080" w:sz="4"/>
              <w:bottom w:val="single" w:color="808080" w:sz="4"/>
              <w:right w:val="single" w:color="808080" w:sz="4"/>
            </w:tcBorders>
            <w:shd w:fill="F8D7D3"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Cao</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Mùn khoan không đo được bằng cao độ → không có căn cứ nghiệm thu hạng mục A (13.918 m³, 2,97 tỷ đ); HM có thể đòi theo chuyến hoặc chứng từ bãi.</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4</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8.3(c); 7.2</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Chứng từ từng chuyến: phiếu của bãi và phiếu xuất cổng có chữ ký nhân sự cổng của Bên A; không có đủ chứng từ thì không thanh toán phần vận chuyển.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Chỉ còn biên bản tháng và hóa đơn của bãi. 7.2 cho HM xuất trình chứng từ tháng T vào kỳ T+1; bỏ câu “luân chuyển T+1 không bị coi là chậm thanh toán”.</w:t>
            </w:r>
          </w:p>
        </w:tc>
        <w:tc>
          <w:tcPr>
            <w:tcW w:type="dxa" w:w="950"/>
            <w:tcBorders>
              <w:top w:val="single" w:color="808080" w:sz="4"/>
              <w:left w:val="single" w:color="808080" w:sz="4"/>
              <w:bottom w:val="single" w:color="808080" w:sz="4"/>
              <w:right w:val="single" w:color="808080" w:sz="4"/>
            </w:tcBorders>
            <w:shd w:fill="F8D7D3"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Cao</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Bên A thanh toán vận chuyển tháng T khi chưa có chứng từ. 7.2 mâu thuẫn 8.3(c),(d) (nộp kèm hồ sơ tháng, thiếu chứng từ thì không thanh toán) → dễ tranh chấp.</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5</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8.3 (nguyên tắc), 8.3(a)(ii), (v)</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Cấm tập kết, đổ, bán, cho Chất Thải ngoài bãi đã duyệt; hợp đồng với bãi phải đứng tên HM; HM có ngành nghề thu gom, vận chuyển chất thải.</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Bỏ cả ba. (v) đổi thành Giấy CNĐKDN của công ty quản lý bãi.</w:t>
            </w:r>
          </w:p>
        </w:tc>
        <w:tc>
          <w:tcPr>
            <w:tcW w:type="dxa" w:w="950"/>
            <w:tcBorders>
              <w:top w:val="single" w:color="808080" w:sz="4"/>
              <w:left w:val="single" w:color="808080" w:sz="4"/>
              <w:bottom w:val="single" w:color="808080" w:sz="4"/>
              <w:right w:val="single" w:color="808080" w:sz="4"/>
            </w:tcBorders>
            <w:shd w:fill="F8D7D3"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Cao</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Không ràng buộc năng lực pháp lý của HM; HM có thể để đơn vị khác ký với bãi; mất căn cứ xử lý khi đổ, bán đất ra ngoài.</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6</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8.3(i); 10.2(a)(v)</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Tạm dừng ngay, tạm giữ tiền khi có phản ánh đổ sai; chấm dứt HĐ khi xả mùn khoan, nước thải hoặc dùng chứng từ giả (01 lần).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Bỏ 8.3(i). 10.2(v) chỉ còn đổ sai bãi và tự ý chở Đất Tái Sử Dụng.</w:t>
            </w:r>
          </w:p>
        </w:tc>
        <w:tc>
          <w:tcPr>
            <w:tcW w:type="dxa" w:w="950"/>
            <w:tcBorders>
              <w:top w:val="single" w:color="808080" w:sz="4"/>
              <w:left w:val="single" w:color="808080" w:sz="4"/>
              <w:bottom w:val="single" w:color="808080" w:sz="4"/>
              <w:right w:val="single" w:color="808080" w:sz="4"/>
            </w:tcBorders>
            <w:shd w:fill="F8D7D3"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Cao</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Bên A mất công cụ xử lý nhanh khi có sự cố môi trường; chỉ còn tạm dừng thông thường theo 10.1 (báo trước 05 ngày, trừ vi phạm môi trường).</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7</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8.7(d)</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Bảo hiểm trách nhiệm bên thứ ba: hạn mức để chốt.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Ghi 5.000.000 đồng/vụ (năm triệu đồng).</w:t>
            </w:r>
          </w:p>
        </w:tc>
        <w:tc>
          <w:tcPr>
            <w:tcW w:type="dxa" w:w="950"/>
            <w:tcBorders>
              <w:top w:val="single" w:color="808080" w:sz="4"/>
              <w:left w:val="single" w:color="808080" w:sz="4"/>
              <w:bottom w:val="single" w:color="808080" w:sz="4"/>
              <w:right w:val="single" w:color="808080" w:sz="4"/>
            </w:tcBorders>
            <w:shd w:fill="F8D7D3"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Cao</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Hạn mức gần như không có giá trị; khả năng gõ thiếu số (5 tỷ?). Cần xác nhận lại.</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8</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8.5(f); 6.1(a); 8.7(b); PL B 3.1.5, 4.22</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HM tự thoát nước cục bộ, bảo vệ hố đào, mái dốc; chịu mọi sạt lở, ngập hố, hư cọc, cừ, văng chống do vi phạm.</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Bỏ 8.5(f). Bảo vệ mái dốc chỉ đến khi bàn giao mặt bằng cho bên kết cấu. Thoát nước cục bộ chuyển sang Bên A cung cấp, HM chịu khấu trừ.</w:t>
            </w:r>
          </w:p>
        </w:tc>
        <w:tc>
          <w:tcPr>
            <w:tcW w:type="dxa" w:w="950"/>
            <w:tcBorders>
              <w:top w:val="single" w:color="808080" w:sz="4"/>
              <w:left w:val="single" w:color="808080" w:sz="4"/>
              <w:bottom w:val="single" w:color="808080" w:sz="4"/>
              <w:right w:val="single" w:color="808080" w:sz="4"/>
            </w:tcBorders>
            <w:shd w:fill="F8D7D3"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Cao</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Rủi ro sạt lở, ngập hố đào, hư kết cấu sau bàn giao do Bên A chịu. 15.2(h), 8.1(h) vẫn dẫn chiếu nghĩa vụ đã bỏ.</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9</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4.1; 4.3(a),(b),(c)</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Bên A không chỉ định, không chịu trách nhiệm việc chọn bãi; chỉ dẫn của Bên A chỉ trong công trường; HM là chủ thể thu gom, vận chuyển; cấm xả mùn khoan ra môi trường.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Bỏ các câu này.</w:t>
            </w:r>
          </w:p>
        </w:tc>
        <w:tc>
          <w:tcPr>
            <w:tcW w:type="dxa" w:w="950"/>
            <w:tcBorders>
              <w:top w:val="single" w:color="808080" w:sz="4"/>
              <w:left w:val="single" w:color="808080" w:sz="4"/>
              <w:bottom w:val="single" w:color="808080" w:sz="4"/>
              <w:right w:val="single" w:color="808080" w:sz="4"/>
            </w:tcBorders>
            <w:shd w:fill="FCEBC4"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Trung bình</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Phần còn lại của 4.1 (HM tự tìm bãi, tự chịu trách nhiệm) và 15.2(i) (phạt xả mùn khoan) vẫn giữ được một phần.</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10</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5.2(v)</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Phối hợp, dùng chung mặt bằng với nhà thầu kết cấu không là căn cứ gia hạn, phát sinh.</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Bỏ vế “không là căn cứ gia hạn hay phát sinh”.</w:t>
            </w:r>
          </w:p>
        </w:tc>
        <w:tc>
          <w:tcPr>
            <w:tcW w:type="dxa" w:w="950"/>
            <w:tcBorders>
              <w:top w:val="single" w:color="808080" w:sz="4"/>
              <w:left w:val="single" w:color="808080" w:sz="4"/>
              <w:bottom w:val="single" w:color="808080" w:sz="4"/>
              <w:right w:val="single" w:color="808080" w:sz="4"/>
            </w:tcBorders>
            <w:shd w:fill="FCEBC4"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Trung bình</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HM có cơ sở đòi gia hạn, phát sinh khi phải chờ nhà thầu kết cấu.</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11</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8.1(h)</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Khấu trừ rửa xe, bơm nước tối đa 50 triệu/tháng.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Thêm trần tổng 300 triệu đồng.</w:t>
            </w:r>
          </w:p>
        </w:tc>
        <w:tc>
          <w:tcPr>
            <w:tcW w:type="dxa" w:w="950"/>
            <w:tcBorders>
              <w:top w:val="single" w:color="808080" w:sz="4"/>
              <w:left w:val="single" w:color="808080" w:sz="4"/>
              <w:bottom w:val="single" w:color="808080" w:sz="4"/>
              <w:right w:val="single" w:color="808080" w:sz="4"/>
            </w:tcBorders>
            <w:shd w:fill="FCEBC4"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Trung bình</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Tương đương 06 tháng; nếu kéo dài do lỗi HM, Bên A chịu phần vượt.</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12</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8.5 (đoạn mới)</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Không có.</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Bên A được yêu cầu HM làm đường tạm cho đơn vị khác, thanh toán theo đơn giá trung chuyển nội bộ.</w:t>
            </w:r>
          </w:p>
        </w:tc>
        <w:tc>
          <w:tcPr>
            <w:tcW w:type="dxa" w:w="950"/>
            <w:tcBorders>
              <w:top w:val="single" w:color="808080" w:sz="4"/>
              <w:left w:val="single" w:color="808080" w:sz="4"/>
              <w:bottom w:val="single" w:color="808080" w:sz="4"/>
              <w:right w:val="single" w:color="808080" w:sz="4"/>
            </w:tcBorders>
            <w:shd w:fill="FCEBC4"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Trung bình</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Có lợi về quyền điều động nhưng phát sinh chi phí; cần lệnh bằng văn bản và nghiệm thu khối lượng.</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13</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Căn cứ; 14</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Căn cứ Hợp đồng nguyên tắc.</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Xóa căn cứ HĐNT, không có điều khoản chuyển tiếp.</w:t>
            </w:r>
          </w:p>
        </w:tc>
        <w:tc>
          <w:tcPr>
            <w:tcW w:type="dxa" w:w="950"/>
            <w:tcBorders>
              <w:top w:val="single" w:color="808080" w:sz="4"/>
              <w:left w:val="single" w:color="808080" w:sz="4"/>
              <w:bottom w:val="single" w:color="808080" w:sz="4"/>
              <w:right w:val="single" w:color="808080" w:sz="4"/>
            </w:tcBorders>
            <w:shd w:fill="FCEBC4"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Trung bình</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Nếu đã tạm ứng 500 triệu theo HĐNT thì chưa rõ khoản này được tính và thu hồi theo HĐKT.</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14</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PL A ghi chú 6</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Hệ số quy đổi khối lượng.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Vẫn để trong ngoặc vuông [1,20], [1,10], [1,80].</w:t>
            </w:r>
          </w:p>
        </w:tc>
        <w:tc>
          <w:tcPr>
            <w:tcW w:type="dxa" w:w="950"/>
            <w:tcBorders>
              <w:top w:val="single" w:color="808080" w:sz="4"/>
              <w:left w:val="single" w:color="808080" w:sz="4"/>
              <w:bottom w:val="single" w:color="808080" w:sz="4"/>
              <w:right w:val="single" w:color="808080" w:sz="4"/>
            </w:tcBorders>
            <w:shd w:fill="FCEBC4"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Trung bình</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Hệ số chưa chốt → chưa đối chiếu được khối lượng chứng từ bãi với khối lượng nghiệm thu.</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15</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7.3(b)</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Chứng từ đổ thải trong hồ sơ quyết toán.</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Chấp nhận “bản photo”.</w:t>
            </w:r>
          </w:p>
        </w:tc>
        <w:tc>
          <w:tcPr>
            <w:tcW w:type="dxa" w:w="95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Thấp</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7.3(a) vẫn đòi chứng từ hợp lệ 100%; nên yêu cầu bản sao y hoặc đối chiếu bản gốc.</w:t>
            </w:r>
          </w:p>
        </w:tc>
      </w:tr>
      <w:tr>
        <w:trPr>
          <w:cantSplit/>
          <w:tblHeader w:val="false"/>
        </w:trPr>
        <w:tc>
          <w:tcPr>
            <w:tcW w:type="dxa" w:w="4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16</w:t>
            </w:r>
          </w:p>
        </w:tc>
        <w:tc>
          <w:tcPr>
            <w:tcW w:type="dxa" w:w="1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Trình bày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Điểm “v1)” chen giữa m) và n) của 8.1; “ra..”; “tự chi chi phí”; 8.3(c) câu dẫn lặp; 6.1(a) câu “phối hợp với Nhà Thầu Kết Cấu khơi rãnh…” sai nghĩa.</w:t>
            </w:r>
          </w:p>
        </w:tc>
        <w:tc>
          <w:tcPr>
            <w:tcW w:type="dxa" w:w="950"/>
            <w:tcBorders>
              <w:top w:val="single" w:color="808080" w:sz="4"/>
              <w:left w:val="single" w:color="808080" w:sz="4"/>
              <w:bottom w:val="single" w:color="808080" w:sz="4"/>
              <w:right w:val="single" w:color="808080" w:sz="4"/>
            </w:tcBorders>
            <w:shd w:fill="E2EFDA" w:color="auto" w:val="clear"/>
            <w:tcMar>
              <w:top w:type="dxa" w:w="40"/>
              <w:left w:type="dxa" w:w="70"/>
              <w:bottom w:type="dxa" w:w="40"/>
              <w:right w:type="dxa" w:w="70"/>
            </w:tcMar>
          </w:tcPr>
          <w:p>
            <w:pPr>
              <w:spacing w:after="20"/>
              <w:jc w:val="center"/>
            </w:pPr>
            <w:r>
              <w:rPr>
                <w:rFonts w:ascii="Times New Roman" w:cs="Times New Roman" w:eastAsia="Times New Roman" w:hAnsi="Times New Roman"/>
                <w:b w:val="false"/>
                <w:bCs w:val="false"/>
                <w:sz w:val="21"/>
                <w:szCs w:val="21"/>
              </w:rPr>
              <w:t xml:space="preserve">Thấp</w:t>
            </w:r>
          </w:p>
        </w:tc>
        <w:tc>
          <w:tcPr>
            <w:tcW w:type="dxa" w:w="2188"/>
            <w:tcBorders>
              <w:top w:val="single" w:color="808080" w:sz="4"/>
              <w:left w:val="single" w:color="808080" w:sz="4"/>
              <w:bottom w:val="single" w:color="808080" w:sz="4"/>
              <w:right w:val="single" w:color="808080" w:sz="4"/>
            </w:tcBorders>
            <w:tcMar>
              <w:top w:type="dxa" w:w="40"/>
              <w:left w:type="dxa" w:w="70"/>
              <w:bottom w:type="dxa" w:w="40"/>
              <w:right w:type="dxa" w:w="70"/>
            </w:tcMar>
          </w:tcPr>
          <w:p>
            <w:pPr>
              <w:spacing w:after="20"/>
              <w:jc w:val="left"/>
            </w:pPr>
            <w:r>
              <w:rPr>
                <w:rFonts w:ascii="Times New Roman" w:cs="Times New Roman" w:eastAsia="Times New Roman" w:hAnsi="Times New Roman"/>
                <w:b w:val="false"/>
                <w:bCs w:val="false"/>
                <w:sz w:val="21"/>
                <w:szCs w:val="21"/>
              </w:rPr>
              <w:t xml:space="preserve">Không ảnh hưởng nhiều nhưng nên sửa khi ký phụ lục.</w:t>
            </w:r>
          </w:p>
        </w:tc>
      </w:tr>
    </w:tbl>
    <w:p>
      <w:pPr>
        <w:keepNext/>
        <w:spacing w:after="80" w:before="180"/>
        <w:jc w:val="both"/>
      </w:pPr>
      <w:r>
        <w:rPr>
          <w:rFonts w:ascii="Times New Roman" w:cs="Times New Roman" w:eastAsia="Times New Roman" w:hAnsi="Times New Roman"/>
          <w:b/>
          <w:bCs/>
          <w:sz w:val="25"/>
          <w:szCs w:val="25"/>
        </w:rPr>
        <w:t xml:space="preserve">4. Đề xuất</w:t>
      </w:r>
    </w:p>
    <w:p>
      <w:pPr>
        <w:spacing w:after="80" w:line="276"/>
        <w:jc w:val="both"/>
      </w:pPr>
      <w:r>
        <w:rPr>
          <w:rFonts w:ascii="Times New Roman" w:cs="Times New Roman" w:eastAsia="Times New Roman" w:hAnsi="Times New Roman"/>
          <w:b/>
          <w:bCs/>
          <w:sz w:val="25"/>
          <w:szCs w:val="25"/>
        </w:rPr>
        <w:t xml:space="preserve">Nếu hợp đồng chưa đóng dấu: </w:t>
      </w:r>
      <w:r>
        <w:rPr>
          <w:rFonts w:ascii="Times New Roman" w:cs="Times New Roman" w:eastAsia="Times New Roman" w:hAnsi="Times New Roman"/>
          <w:sz w:val="25"/>
          <w:szCs w:val="25"/>
        </w:rPr>
        <w:t xml:space="preserve">đề nghị sửa tối thiểu 08 điểm mức Cao trước khi ký. Nếu đã ký: </w:t>
      </w:r>
      <w:r>
        <w:rPr>
          <w:rFonts w:ascii="Times New Roman" w:cs="Times New Roman" w:eastAsia="Times New Roman" w:hAnsi="Times New Roman"/>
          <w:b/>
          <w:bCs/>
          <w:sz w:val="25"/>
          <w:szCs w:val="25"/>
        </w:rPr>
        <w:t xml:space="preserve">ký Phụ lục số 01 trước kỳ thanh toán đầu tiên </w:t>
      </w:r>
      <w:r>
        <w:rPr>
          <w:rFonts w:ascii="Times New Roman" w:cs="Times New Roman" w:eastAsia="Times New Roman" w:hAnsi="Times New Roman"/>
          <w:sz w:val="25"/>
          <w:szCs w:val="25"/>
        </w:rPr>
        <w:t xml:space="preserve">với các nội dung sau (không nhắc bentonite, GPS, đường tạm):</w:t>
      </w:r>
    </w:p>
    <w:p>
      <w:pPr>
        <w:pStyle w:val="ListParagraph"/>
        <w:numPr>
          <w:ilvl w:val="0"/>
          <w:numId w:val="2"/>
        </w:numPr>
        <w:spacing w:after="40" w:line="276"/>
        <w:jc w:val="both"/>
      </w:pPr>
      <w:r>
        <w:rPr>
          <w:rFonts w:ascii="Times New Roman" w:cs="Times New Roman" w:eastAsia="Times New Roman" w:hAnsi="Times New Roman"/>
          <w:sz w:val="25"/>
          <w:szCs w:val="25"/>
        </w:rPr>
        <w:t xml:space="preserve">Khôi phục 3 định nghĩa Chất Thải, Điểm Chuyển Giao, Chứng Từ Đổ Thải Hợp Lệ.</w:t>
      </w:r>
    </w:p>
    <w:p>
      <w:pPr>
        <w:pStyle w:val="ListParagraph"/>
        <w:numPr>
          <w:ilvl w:val="0"/>
          <w:numId w:val="2"/>
        </w:numPr>
        <w:spacing w:after="40" w:line="276"/>
        <w:jc w:val="both"/>
      </w:pPr>
      <w:r>
        <w:rPr>
          <w:rFonts w:ascii="Times New Roman" w:cs="Times New Roman" w:eastAsia="Times New Roman" w:hAnsi="Times New Roman"/>
          <w:sz w:val="25"/>
          <w:szCs w:val="25"/>
        </w:rPr>
        <w:t xml:space="preserve">Khôi phục cam kết bồi hoàn 8.3(h) dạng rút gọn: HM tự giải trình, hoàn trả mọi khoản Bên A/CĐT phải chịu trong 07 ngày, hiệu lực sau thanh lý.</w:t>
      </w:r>
    </w:p>
    <w:p>
      <w:pPr>
        <w:pStyle w:val="ListParagraph"/>
        <w:numPr>
          <w:ilvl w:val="0"/>
          <w:numId w:val="2"/>
        </w:numPr>
        <w:spacing w:after="40" w:line="276"/>
        <w:jc w:val="both"/>
      </w:pPr>
      <w:r>
        <w:rPr>
          <w:rFonts w:ascii="Times New Roman" w:cs="Times New Roman" w:eastAsia="Times New Roman" w:hAnsi="Times New Roman"/>
          <w:sz w:val="25"/>
          <w:szCs w:val="25"/>
        </w:rPr>
        <w:t xml:space="preserve">Bổ sung cách xác định khối lượng mùn khoan tại 6.2(c) và chốt hệ số quy đổi tại ghi chú 6 Phụ lục A.</w:t>
      </w:r>
    </w:p>
    <w:p>
      <w:pPr>
        <w:pStyle w:val="ListParagraph"/>
        <w:numPr>
          <w:ilvl w:val="0"/>
          <w:numId w:val="2"/>
        </w:numPr>
        <w:spacing w:after="40" w:line="276"/>
        <w:jc w:val="both"/>
      </w:pPr>
      <w:r>
        <w:rPr>
          <w:rFonts w:ascii="Times New Roman" w:cs="Times New Roman" w:eastAsia="Times New Roman" w:hAnsi="Times New Roman"/>
          <w:sz w:val="25"/>
          <w:szCs w:val="25"/>
        </w:rPr>
        <w:t xml:space="preserve">Sửa 7.2 cho khớp 8.3(d): chứng từ bãi tháng T được nộp ở kỳ T+1, nhưng giá trị vận chuyển, đổ thải tương ứng chỉ được thanh toán khi đã có chứng từ (Bên A tạm giữ phần này).</w:t>
      </w:r>
    </w:p>
    <w:p>
      <w:pPr>
        <w:pStyle w:val="ListParagraph"/>
        <w:numPr>
          <w:ilvl w:val="0"/>
          <w:numId w:val="2"/>
        </w:numPr>
        <w:spacing w:after="40" w:line="276"/>
        <w:jc w:val="both"/>
      </w:pPr>
      <w:r>
        <w:rPr>
          <w:rFonts w:ascii="Times New Roman" w:cs="Times New Roman" w:eastAsia="Times New Roman" w:hAnsi="Times New Roman"/>
          <w:sz w:val="25"/>
          <w:szCs w:val="25"/>
        </w:rPr>
        <w:t xml:space="preserve">Khôi phục phiếu xuất cổng từng chuyến có chữ ký nhân sự cổng của Bên A (không phải GPS); lệnh cấm đổ, bán, cho Chất Thải ngoài bãi; hợp đồng với bãi đứng tên HM.</w:t>
      </w:r>
    </w:p>
    <w:p>
      <w:pPr>
        <w:pStyle w:val="ListParagraph"/>
        <w:numPr>
          <w:ilvl w:val="0"/>
          <w:numId w:val="2"/>
        </w:numPr>
        <w:spacing w:after="40" w:line="276"/>
        <w:jc w:val="both"/>
      </w:pPr>
      <w:r>
        <w:rPr>
          <w:rFonts w:ascii="Times New Roman" w:cs="Times New Roman" w:eastAsia="Times New Roman" w:hAnsi="Times New Roman"/>
          <w:sz w:val="25"/>
          <w:szCs w:val="25"/>
        </w:rPr>
        <w:t xml:space="preserve">Khôi phục 8.3(i) và căn cứ chấm dứt tại 10.2(a)(v); khôi phục trách nhiệm thoát nước cục bộ, bảo vệ hố đào, mái dốc (8.5(f)).</w:t>
      </w:r>
    </w:p>
    <w:p>
      <w:pPr>
        <w:pStyle w:val="ListParagraph"/>
        <w:numPr>
          <w:ilvl w:val="0"/>
          <w:numId w:val="2"/>
        </w:numPr>
        <w:spacing w:after="40" w:line="276"/>
        <w:jc w:val="both"/>
      </w:pPr>
      <w:r>
        <w:rPr>
          <w:rFonts w:ascii="Times New Roman" w:cs="Times New Roman" w:eastAsia="Times New Roman" w:hAnsi="Times New Roman"/>
          <w:sz w:val="25"/>
          <w:szCs w:val="25"/>
        </w:rPr>
        <w:t xml:space="preserve">Xác nhận lại hạn mức bảo hiểm bên thứ ba tại 8.7(d); bổ sung điều khoản chuyển tiếp tạm ứng theo Hợp đồng nguyên tắc.</w:t>
      </w:r>
    </w:p>
    <w:p>
      <w:pPr>
        <w:spacing w:after="80" w:line="276"/>
        <w:jc w:val="both"/>
      </w:pPr>
      <w:r>
        <w:rPr>
          <w:rFonts w:ascii="Times New Roman" w:cs="Times New Roman" w:eastAsia="Times New Roman" w:hAnsi="Times New Roman"/>
          <w:b/>
          <w:bCs/>
          <w:sz w:val="25"/>
          <w:szCs w:val="25"/>
        </w:rPr>
        <w:t xml:space="preserve">Trong lúc chờ phụ lục: </w:t>
      </w:r>
      <w:r>
        <w:rPr>
          <w:rFonts w:ascii="Times New Roman" w:cs="Times New Roman" w:eastAsia="Times New Roman" w:hAnsi="Times New Roman"/>
          <w:sz w:val="25"/>
          <w:szCs w:val="25"/>
        </w:rPr>
        <w:t xml:space="preserve">BCH vẫn lập phiếu xuất cổng từng chuyến theo quyền kiểm soát cổng, kiểm tra phiếu tại 8.6(d), và chỉ xác nhận khối lượng vận chuyển, đổ thải khi đã đối chiếu được với biên bản, hóa đơn của bãi.</w:t>
      </w:r>
    </w:p>
    <w:p>
      <w:pPr>
        <w:spacing w:after="80" w:line="276"/>
        <w:jc w:val="both"/>
      </w:pPr>
      <w:r>
        <w:rPr>
          <w:rFonts w:ascii="Times New Roman" w:cs="Times New Roman" w:eastAsia="Times New Roman" w:hAnsi="Times New Roman"/>
          <w:sz w:val="25"/>
          <w:szCs w:val="25"/>
        </w:rPr>
        <w:t xml:space="preserve"/>
      </w:r>
    </w:p>
    <w:p>
      <w:pPr>
        <w:spacing w:after="80" w:line="276"/>
        <w:jc w:val="right"/>
      </w:pPr>
      <w:r>
        <w:rPr>
          <w:rFonts w:ascii="Times New Roman" w:cs="Times New Roman" w:eastAsia="Times New Roman" w:hAnsi="Times New Roman"/>
          <w:b/>
          <w:bCs/>
          <w:sz w:val="25"/>
          <w:szCs w:val="25"/>
        </w:rPr>
        <w:t xml:space="preserve">BCH Yên Sở</w:t>
      </w:r>
    </w:p>
    <w:sectPr>
      <w:foot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2026-10-12T01:22:40.946Z</dcterms:created>
  <dcterms:modified xsi:type="dcterms:W3CDTF">2026-10-12T01:22:40.954Z</dcterms:modified>
</cp:coreProperties>
</file>

<file path=docProps/custom.xml><?xml version="1.0" encoding="utf-8"?>
<Properties xmlns="http://schemas.openxmlformats.org/officeDocument/2006/custom-properties" xmlns:vt="http://schemas.openxmlformats.org/officeDocument/2006/docPropsVTypes"/>
</file>