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rFonts w:ascii="Times New Roman" w:cs="Times New Roman" w:eastAsia="Times New Roman" w:hAnsi="Times New Roman"/>
          <w:b/>
          <w:bCs/>
          <w:sz w:val="26"/>
          <w:szCs w:val="26"/>
        </w:rPr>
        <w:t xml:space="preserve">CÔNG TY CP ĐẦU TƯ XÂY DỰNG VÀ KỸ THUẬT VNCN E&amp;C</w:t>
      </w:r>
    </w:p>
    <w:p>
      <w:pPr>
        <w:spacing w:after="0" w:before="0" w:line="300"/>
        <w:jc w:val="center"/>
      </w:pPr>
      <w:r>
        <w:rPr>
          <w:rFonts w:ascii="Times New Roman" w:cs="Times New Roman" w:eastAsia="Times New Roman" w:hAnsi="Times New Roman"/>
          <w:b/>
          <w:bCs/>
          <w:sz w:val="26"/>
          <w:szCs w:val="26"/>
        </w:rPr>
        <w:t xml:space="preserve">CÔNG TY CP ĐẦU TƯ XÂY DỰNG VÀ KỸ THUẬT VNCN E&amp;C</w:t>
      </w:r>
    </w:p>
    <w:p>
      <w:pPr>
        <w:spacing w:after="60" w:before="200" w:line="300"/>
        <w:jc w:val="center"/>
      </w:pPr>
      <w:r>
        <w:rPr>
          <w:rFonts w:ascii="Times New Roman" w:cs="Times New Roman" w:eastAsia="Times New Roman" w:hAnsi="Times New Roman"/>
          <w:b/>
          <w:bCs/>
          <w:sz w:val="30"/>
          <w:szCs w:val="30"/>
        </w:rPr>
        <w:t xml:space="preserve">BÁO CÁO RÀ SOÁT TRƯỚC KHI GỬI PHỤC HƯNG</w:t>
      </w:r>
    </w:p>
    <w:p>
      <w:pPr>
        <w:spacing w:after="60" w:before="0" w:line="300"/>
        <w:jc w:val="center"/>
      </w:pPr>
      <w:r>
        <w:rPr>
          <w:rFonts w:ascii="Times New Roman" w:cs="Times New Roman" w:eastAsia="Times New Roman" w:hAnsi="Times New Roman"/>
          <w:b/>
          <w:bCs/>
          <w:sz w:val="26"/>
          <w:szCs w:val="26"/>
        </w:rPr>
        <w:t xml:space="preserve">Hợp đồng thi công phần ngầm – Dự án NOXH Yên Sở (bản 19/10/2026)</w:t>
      </w:r>
    </w:p>
    <w:p>
      <w:pPr>
        <w:spacing w:after="240" w:before="0" w:line="300"/>
        <w:jc w:val="center"/>
      </w:pPr>
      <w:r>
        <w:rPr>
          <w:rFonts w:ascii="Times New Roman" w:cs="Times New Roman" w:eastAsia="Times New Roman" w:hAnsi="Times New Roman"/>
          <w:i/>
          <w:iCs/>
          <w:sz w:val="26"/>
          <w:szCs w:val="26"/>
        </w:rPr>
        <w:t xml:space="preserve">Tài liệu nội bộ – không gửi kèm hợp đồng</w:t>
      </w:r>
    </w:p>
    <w:p>
      <w:pPr>
        <w:pStyle w:val="Heading1"/>
        <w:keepNext/>
        <w:spacing w:after="120" w:before="300"/>
      </w:pPr>
      <w:r>
        <w:rPr>
          <w:rFonts w:ascii="Times New Roman" w:cs="Times New Roman" w:eastAsia="Times New Roman" w:hAnsi="Times New Roman"/>
          <w:b/>
          <w:bCs/>
          <w:color w:val="1F3864"/>
          <w:sz w:val="28"/>
          <w:szCs w:val="28"/>
        </w:rPr>
        <w:t xml:space="preserve">I. KẾT LUẬN NHANH</w:t>
      </w:r>
    </w:p>
    <w:p>
      <w:pPr>
        <w:spacing w:after="100" w:before="0" w:line="300"/>
        <w:jc w:val="both"/>
      </w:pPr>
      <w:r>
        <w:rPr>
          <w:rFonts w:ascii="Times New Roman" w:cs="Times New Roman" w:eastAsia="Times New Roman" w:hAnsi="Times New Roman"/>
          <w:sz w:val="26"/>
          <w:szCs w:val="26"/>
        </w:rPr>
        <w:t xml:space="preserve">Đã đổi chỗ Điều 14 (Bảo lãnh) và Điều 19 (Quyết toán và thanh lý), sửa toàn bộ dẫn chiếu liên quan. Ngoài việc này, nội dung hợp đồng giữ nguyên, không sửa thêm.</w:t>
      </w:r>
    </w:p>
    <w:p>
      <w:pPr>
        <w:spacing w:after="100" w:before="0" w:line="300"/>
        <w:jc w:val="both"/>
      </w:pPr>
      <w:r>
        <w:rPr>
          <w:rFonts w:ascii="Times New Roman" w:cs="Times New Roman" w:eastAsia="Times New Roman" w:hAnsi="Times New Roman"/>
          <w:b/>
          <w:bCs/>
          <w:sz w:val="26"/>
          <w:szCs w:val="26"/>
        </w:rPr>
        <w:t xml:space="preserve">Có thể gửi Phục Hưng sau khi xử lý 4 việc bắt buộc tại Mục III (comment nội bộ, dẫn chiếu tới 17.1 điểm c đã bị xóa, tiến độ để trống, số hợp đồng). Các nội dung tại Mục IV là rủi ro của Bên A, nên cân nhắc trước khi gửi hoặc giữ làm phương án cho vòng đàm phán tiếp theo.</w:t>
      </w:r>
    </w:p>
    <w:p>
      <w:pPr>
        <w:pStyle w:val="Heading1"/>
        <w:keepNext/>
        <w:spacing w:after="120" w:before="300"/>
      </w:pPr>
      <w:r>
        <w:rPr>
          <w:rFonts w:ascii="Times New Roman" w:cs="Times New Roman" w:eastAsia="Times New Roman" w:hAnsi="Times New Roman"/>
          <w:b/>
          <w:bCs/>
          <w:color w:val="1F3864"/>
          <w:sz w:val="28"/>
          <w:szCs w:val="28"/>
        </w:rPr>
        <w:t xml:space="preserve">II. VIỆC ĐÃ LÀM: ĐỔI CHỖ ĐIỀU 14 VÀ ĐIỀU 19</w:t>
      </w:r>
    </w:p>
    <w:p>
      <w:pPr>
        <w:spacing w:after="100" w:before="0" w:line="300"/>
        <w:jc w:val="both"/>
      </w:pPr>
      <w:r>
        <w:rPr>
          <w:rFonts w:ascii="Times New Roman" w:cs="Times New Roman" w:eastAsia="Times New Roman" w:hAnsi="Times New Roman"/>
          <w:sz w:val="26"/>
          <w:szCs w:val="26"/>
        </w:rPr>
        <w:t xml:space="preserve">Thứ tự mới: Điều 13 Vật tư → Điều 14 Bảo lãnh → Điều 15 Sửa đổi, điều chỉnh, phát sinh → Điều 16 Bất khả kháng → Điều 17 Tạm dừng, chấm dứt → Điều 18 Phạt, bồi thường → Điều 19 Quyết toán và thanh lý → Điều 20 Tranh chấp → Điều 21 Điều khoản chung. Số Điều 15–18 giữ nguyên theo biên bản thương thảo.</w:t>
      </w:r>
    </w:p>
    <w:p>
      <w:pPr>
        <w:spacing w:after="100" w:before="0" w:line="300"/>
        <w:jc w:val="both"/>
      </w:pPr>
      <w:r>
        <w:rPr>
          <w:rFonts w:ascii="Times New Roman" w:cs="Times New Roman" w:eastAsia="Times New Roman" w:hAnsi="Times New Roman"/>
          <w:sz w:val="26"/>
          <w:szCs w:val="26"/>
        </w:rPr>
        <w:t xml:space="preserve">Số điều, số khoản đổi bằng track changes (tác giả “VNCN E&amp;C”) để Phục Hưng thấy được. Đã rà toàn bộ hợp đồng, các biểu và comment; các dẫn chiếu đã sửa: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200"/>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Vị trí</w:t>
            </w:r>
          </w:p>
        </w:tc>
        <w:tc>
          <w:tcPr>
            <w:tcW w:type="dxa" w:w="4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Nội dung</w:t>
            </w:r>
          </w:p>
        </w:tc>
        <w:tc>
          <w:tcPr>
            <w:tcW w:type="dxa" w:w="3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Sửa</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Tiêu đề</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Điều 14 Bảo lãnh; 14.1–14.4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19 → 14; 19.1–19.4 → 14.1–14.4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Tiêu đề</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Điều 19 Quyết toán và thanh lý; 19.1–19.2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14 → 19; 14.1–14.2 → 19.1–19.2</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8.2(iii)</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Bảo lãnh bảo hành</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Điều 19.3 → Điều 14.3</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10.3.1a</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Bảo lãnh thực hiện; bảo lãnh tạm ứng</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Điều 19.2 → 14.2; Điều 19.1 → 14.1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10.3.2b</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Bảo lãnh bảo hành; hồ sơ quyết toán</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Điều 19.3 → 14.3; Điều 14.1 → 19.1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10.5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Hồ sơ thanh toán</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Điều 14.1 → Điều 19.1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Comment</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2 comment nhắc tới số Điều 14/19</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Cập nhật theo vị trí mới</w:t>
            </w:r>
          </w:p>
        </w:tc>
      </w:tr>
    </w:tbl>
    <w:p>
      <w:pPr>
        <w:spacing w:after="100" w:before="80" w:line="300"/>
        <w:jc w:val="both"/>
      </w:pPr>
      <w:r>
        <w:rPr>
          <w:rFonts w:ascii="Times New Roman" w:cs="Times New Roman" w:eastAsia="Times New Roman" w:hAnsi="Times New Roman"/>
          <w:i/>
          <w:iCs/>
          <w:sz w:val="26"/>
          <w:szCs w:val="26"/>
        </w:rPr>
        <w:t xml:space="preserve">Kiểm tra: so toàn văn trước và sau khi đổi, chỉ khác đúng các số nêu trên; file mở và kiểm tra cấu trúc Word đạt.</w:t>
      </w:r>
    </w:p>
    <w:p>
      <w:pPr>
        <w:pStyle w:val="Heading1"/>
        <w:keepNext/>
        <w:spacing w:after="120" w:before="300"/>
      </w:pPr>
      <w:r>
        <w:rPr>
          <w:rFonts w:ascii="Times New Roman" w:cs="Times New Roman" w:eastAsia="Times New Roman" w:hAnsi="Times New Roman"/>
          <w:b/>
          <w:bCs/>
          <w:color w:val="1F3864"/>
          <w:sz w:val="28"/>
          <w:szCs w:val="28"/>
        </w:rPr>
        <w:t xml:space="preserve">III. PHẢI XỬ LÝ TRƯỚC KHI GỬI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700"/>
        <w:gridCol w:w="3300"/>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Vị trí</w:t>
            </w:r>
          </w:p>
        </w:tc>
        <w:tc>
          <w:tcPr>
            <w:tcW w:type="dxa" w:w="3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Vấn đề</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Đề xuất</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Toàn bộ comment</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File có 40 comment, trong đó nhiều comment nội bộ lộ quan điểm đàm phán của Bên A: “CẦN XÁC NHẬN: bảo lãnh thanh toán 15%… nghĩa vụ tài chính lớn của Bên A”, “còn chờ chốt chiết khấu 164.702 đ”, “Pháp chế đối chiếu…”, “ĐỀ XUẤT THEO BẢNG EXCEL RIÊNG”. Một số comment đã lỗi thời: comment 12.2.10 ghi “đồng ý PH, không quy định máy phát dự phòng” nhưng 12.2.10b đã thêm máy phát; các comment nhắc “17.1 điểm c” trong khi điểm này đã bị xóa.</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Xóa toàn bộ comment nội bộ của VNCN E&amp;C trước khi gửi; chỉ giữ comment trả lời ý kiến PH nếu cần. Nên gửi PH bản track changes không kèm comment, hoặc kèm một bảng giải trình riêng.</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17.1 (c) đã xóa</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Điểm c) “Chi phí dừng chờ, tạm dừng” đã bị xóa, nhưng hợp đồng còn 3 chỗ dẫn chiếu tới: 4.2 (đoạn cuối: “Điều 17.1 điểm c (chi phí dừng chờ)”), 15.1c (đoạn cuối: “trừ trường hợp quy định tại Điều 17.1 điểm c”), 17.1a(ii) (“chi phí phát sinh… bù đắp theo điểm c khoản này”). Dẫn chiếu tới điều không tồn tại sẽ bị diễn giải bất lợi cho bên soạn thảo (Điều 404 BLDS).</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Phương án 1 (khuyến nghị): khôi phục 17.1c có điều kiện như bản 17/10, vì nếu không có thỏa thuận, khi tạm dừng do lỗi Bên A, Bên B vẫn được đòi bồi thường thiệt hại thực tế theo BLDS, không có giới hạn. Phương án 2: giữ việc xóa, sửa 3 dẫn chiếu: 4.2 chỉ còn “theo Điều 15.1 điểm c (gia hạn)”; 15.1c kết thúc ở “…và không làm phát sinh chi phí.”; 17.1a(ii) bỏ cụm “chi phí phát sinh (nếu có)…”. Đồng thời 17.1 thiếu nhãn “b)” cho đoạn thông báo tạm dừng.</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7.1 Tiến độ</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“Tổng thời gian thực hiện Hợp đồng: …… ngày” còn trống. Phạt chậm tiến độ (18.3) tính theo mốc tại Điều 7.1; để trống thì Bên A không có căn cứ phạt, và không xác định được ngày hoàn thành.</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Điền số ngày, hoặc ghi rõ “theo Phụ lục tiến độ do hai bên ký trước ngày bắt đầu; trong thời gian chưa ký, áp dụng Tiến độ thi công chi tiết được Bên A chấp thuận”.</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Số hợp đồng</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Trang bìa ghi “/2026-HĐXD/VNCNEC-PHC”, trang 1 ghi “/2026/HĐ/VNCNEC-PHC”.</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Thống nhất một số hợp đồng.</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Lỗi trình bày</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7.2: (ii) chỉ ghi “Hồ sơ thiết kế” (thiếu nội dung); sau (v) có các đoạn không nhãn rồi đến e), f). 17.2b: (xi) là hệ quả chấm dứt, không phải căn cứ, nhưng đang đánh số như một căn cứ. 17.2d: (v), (vi), (vii) đứng sau các đoạn không đánh số. 14.4: thiếu dấu chấm sau “15% giá trị hợp đồng”, câu “…hợp đồng này.Hiệu lực…” dính liền. 1.22 ghi “Điều 16 [Rủi ro và bất khả kháng]” trong khi tên Điều 16 là “Bất khả kháng”.</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7.2(ii) sửa thành “Bên A bàn giao hồ sơ thiết kế bản vẽ thi công giai đoạn đầu”; đánh lại nhãn 7.2, 17.2b, 17.2d; tách (xi) thành đoạn riêng; sửa lỗi chính tả, dấu câu.</w:t>
            </w:r>
          </w:p>
        </w:tc>
      </w:tr>
    </w:tbl>
    <w:p>
      <w:pPr>
        <w:pStyle w:val="Heading1"/>
        <w:keepNext/>
        <w:spacing w:after="120" w:before="300"/>
      </w:pPr>
      <w:r>
        <w:rPr>
          <w:rFonts w:ascii="Times New Roman" w:cs="Times New Roman" w:eastAsia="Times New Roman" w:hAnsi="Times New Roman"/>
          <w:b/>
          <w:bCs/>
          <w:color w:val="1F3864"/>
          <w:sz w:val="28"/>
          <w:szCs w:val="28"/>
        </w:rPr>
        <w:t xml:space="preserve">IV. RỦI RO CỦA BÊN A THEO PHÁP LUẬT VÀ FIDIC (CÂN NHẮC, KHÔNG BẮT BUỘC)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
        <w:gridCol w:w="1350"/>
        <w:gridCol w:w="3300"/>
        <w:gridCol w:w="700"/>
        <w:gridCol w:w="3400"/>
      </w:tblGrid>
      <w:tr>
        <w:trPr>
          <w:tblHeader/>
        </w:trPr>
        <w:tc>
          <w:tcPr>
            <w:tcW w:type="dxa" w:w="4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w:t>
            </w:r>
          </w:p>
        </w:tc>
        <w:tc>
          <w:tcPr>
            <w:tcW w:type="dxa" w:w="13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Điều</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Rủi ro</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Mức</w:t>
            </w:r>
          </w:p>
        </w:tc>
        <w:tc>
          <w:tcPr>
            <w:tcW w:type="dxa" w:w="3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Đề xuất</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14.4 Bảo lãnh thanh toán</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Bên A phải phát hành bảo lãnh 15% giá trị HĐ (≈32,45 tỷ đồng) trong 20 ngày kể từ ngày ký, hiệu lực đến khi phê duyệt quyết toán, không giảm dần. Bảo lãnh này chiếm hạn mức tín dụng, Bên A chịu phí, và Bên B có thể rút bảo lãnh khi có tranh chấp thanh toán.</w:t>
            </w:r>
          </w:p>
        </w:tc>
        <w:tc>
          <w:tcPr>
            <w:tcW w:type="dxa" w:w="70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Cao</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FIDIC 2.4: bên giao thầu chỉ cung cấp bằng chứng bố trí tài chính khi được yêu cầu. Nếu phải giữ: giá trị không quá 01 kỳ thanh toán bình quân; phát hành sau khi Bên B nộp bảo lãnh thực hiện và bảo lãnh tạm ứng; giảm dần theo giá trị đã thanh toán; chỉ được rút khi Bên A chậm thanh toán khoản đã được xác nhận quá 28 ngày.</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2</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17.2c(ii) và 17.1a(iii)</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Mốc tính lệch nhau. Hồ sơ hợp lệ ngày 0 → Bên A duyệt trong 15 ngày → hạn thanh toán ngày 29 (10.3.2e). Tạm dừng (17.1a(iii)) chỉ được sau ngày 74, nhưng chấm dứt (17.2c(ii)) được thông báo từ ngày 60, tức chỉ 31 ngày sau hạn thanh toán. Bên B được chấm dứt sớm hơn được tạm dừng.</w:t>
            </w:r>
          </w:p>
        </w:tc>
        <w:tc>
          <w:tcPr>
            <w:tcW w:type="dxa" w:w="70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Cao</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Sửa 17.2c(ii) thành “quá 60 ngày kể từ ngày hết thời hạn thanh toán theo Hợp đồng đối với hồ sơ thanh toán hợp lệ”, cùng mốc với 17.1a(iii). FIDIC 16.2 cũng tính từ hạn thanh toán.</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17.1a(v) và đoạn thông báo tạm dừng</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Bên B được tạm dừng khi Bên A không cho ý kiến hồ sơ thanh toán quá 20 ngày, trong khi 10.3.2 quy định thời hạn là 15 ngày, nên chỉ chậm 5 ngày là Bên B đã có căn cứ. Câu “(trừ trường hợp bên A chậm thanh toán)” cho phép Bên B tạm dừng vì chậm thanh toán mà không cần báo trước.</w:t>
            </w:r>
          </w:p>
        </w:tc>
        <w:tc>
          <w:tcPr>
            <w:tcW w:type="dxa" w:w="70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Cao</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Bỏ (v), hoặc nâng lên 28 ngày (FIDIC 14.6). Bỏ ngoại lệ “trừ trường hợp bên A chậm thanh toán”; FIDIC 16.1 yêu cầu báo trước 21 ngày trước khi tạm dừng.</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15.4(ii) Phát sinh</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(a) Bên A không có ý kiến trong 07 ngày làm việc thì coi như chấp thuận đơn giá phát sinh; thỏa thuận này có hiệu lực theo Điều 393 BLDS. (b) “Bên B chỉ triển khai thi công phát sinh sau khi được phê duyệt và ký phụ lục” khiến Bên B được dừng phát sinh chờ phụ lục, gây trượt tiến độ. Ý bổ sung nghĩa vụ thi công trước khi có đơn giá chưa có trong bản final.</w:t>
            </w:r>
          </w:p>
        </w:tc>
        <w:tc>
          <w:tcPr>
            <w:tcW w:type="dxa" w:w="70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Cao</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Thay câu (b) bằng: “Đối với công việc phát sinh liên quan trực tiếp đến hạng mục đang thi công, Bên B phải triển khai ngay theo yêu cầu bằng văn bản của Bên A, không chờ phê duyệt đơn giá, ký phụ lục; khối lượng nghiệm thu được tạm thanh toán </w:t>
            </w:r>
            <w:r>
              <w:rPr>
                <w:rFonts w:ascii="Times New Roman" w:cs="Times New Roman" w:eastAsia="Times New Roman" w:hAnsi="Times New Roman"/>
                <w:b w:val="false"/>
                <w:bCs w:val="false"/>
                <w:sz w:val="20"/>
                <w:szCs w:val="20"/>
                <w:highlight w:val="yellow"/>
              </w:rPr>
              <w:t xml:space="preserve">70</w:t>
            </w:r>
            <w:r>
              <w:rPr>
                <w:rFonts w:ascii="Times New Roman" w:cs="Times New Roman" w:eastAsia="Times New Roman" w:hAnsi="Times New Roman"/>
                <w:b w:val="false"/>
                <w:bCs w:val="false"/>
                <w:sz w:val="20"/>
                <w:szCs w:val="20"/>
              </w:rPr>
              <w:t xml:space="preserve">% theo đơn giá tạm tính do Bên A xác định.” Câu (a) đổi thành “quá thời hạn chưa có ý kiến thì chưa coi là chấp thuận” (FIDIC 2017 Điều 3.7).</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17.2a(iv) HĐ thầu chính chấm dứt</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Câu hiện tại không ghi Bên A được miễn phạt, miễn bồi thường. 18.5b quy định khi chấm dứt “do lỗi của Bên A” thì Bên A phải trả chi phí giải thể và vật tư đã đặt hàng; Bên B có thể lập luận việc HĐ thầu chính chấm dứt thuộc rủi ro của Bên A.</w:t>
            </w:r>
          </w:p>
        </w:tc>
        <w:tc>
          <w:tcPr>
            <w:tcW w:type="dxa" w:w="70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TB</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Bổ sung cuối câu: “Bên A không chịu phạt, không bồi thường thiệt hại (khoản 1 Điều 428 Bộ luật Dân sự 2015).”</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6</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12.2.10b Điện dự phòng</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Ghi “tối đa 03 ngày” nhưng không nói sau 03 ngày thì xử lý thế nào. Bên B có thể viện dẫn giới hạn này để không vận hành tiếp, mâu thuẫn với 12.2.1h (vận hành liên tục tiêu thoát nước hố móng suốt thời gian thi công).</w:t>
            </w:r>
          </w:p>
        </w:tc>
        <w:tc>
          <w:tcPr>
            <w:tcW w:type="dxa" w:w="70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TB</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Bổ sung: “Giới hạn 03 ngày không áp dụng đối với hệ thống tiêu thoát nước, hạ mực nước ngầm theo Điều 12.2.1h. Quá 03 ngày, Bên B tiếp tục duy trì theo yêu cầu của Bên A và được thanh toán chi phí nhiên liệu theo thực tế.”</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7</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3.2 và 17.2b(vii) Giao thầu lại</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Chỉ cấm giao thầu lại “toàn bộ” công việc, nên Bên B được giao lại từng phần (cừ, chống thấm) mà không cần Bên A chấp thuận.</w:t>
            </w:r>
          </w:p>
        </w:tc>
        <w:tc>
          <w:tcPr>
            <w:tcW w:type="dxa" w:w="70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TB</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“toàn bộ hoặc một phần công việc (trừ mua vật tư, thuê máy, khoán nhân công)” (FIDIC 4.4). Pháp luật về hợp đồng xây dựng cũng yêu cầu nhà thầu phụ phải được bên giao thầu chấp thuận.</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8</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7.2(iii) Ngày bắt đầu</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Ngày bắt đầu chỉ tính khi “bàn giao toàn bộ mặt bằng”, trong khi 11.2 quy định bàn giao hố đào theo giai đoạn. Ngày bắt đầu có thể bị lùi, kéo theo mốc phạt tiến độ.</w:t>
            </w:r>
          </w:p>
        </w:tc>
        <w:tc>
          <w:tcPr>
            <w:tcW w:type="dxa" w:w="70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TB</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“bàn giao mặt bằng giai đoạn đầu đủ điều kiện thi công theo Tiến độ thi công chi tiết” (FIDIC 2.1, 8.1). Biên bản 17/10 để “đồng ý PH” nên cần đàm phán.</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9</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8.2(i) Bảo hành</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Bên B bắt đầu khắc phục trong 07 ngày. Nếu cam kết của Bên A với Chủ đầu tư ngắn hơn, Bên A chịu phần chênh lệch.</w:t>
            </w:r>
          </w:p>
        </w:tc>
        <w:tc>
          <w:tcPr>
            <w:tcW w:type="dxa" w:w="700"/>
            <w:tcBorders>
              <w:top w:val="single" w:color="808080" w:sz="4"/>
              <w:left w:val="single" w:color="808080" w:sz="4"/>
              <w:bottom w:val="single" w:color="808080" w:sz="4"/>
              <w:right w:val="single" w:color="808080" w:sz="4"/>
            </w:tcBorders>
            <w:shd w:fill="C6E0B4"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Thấp</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Đối chiếu HĐ thầu chính; nên ghi “không dài hơn thời hạn Bên A phải thực hiện theo Hợp đồng thầu chính”.</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10</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Điều 18 Phạt</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Phạt tính trên “giá trị Hợp đồng” chứ không phải “giá trị phần nghĩa vụ bị vi phạm”. Nếu cơ quan giải quyết tranh chấp áp dụng Điều 301 Luật Thương mại (tối đa 8% phần nghĩa vụ bị vi phạm), mức phạt có thể bị giảm. Luật Xây dựng là luật chuyên ngành nên được ưu tiên áp dụng.</w:t>
            </w:r>
          </w:p>
        </w:tc>
        <w:tc>
          <w:tcPr>
            <w:tcW w:type="dxa" w:w="700"/>
            <w:tcBorders>
              <w:top w:val="single" w:color="808080" w:sz="4"/>
              <w:left w:val="single" w:color="808080" w:sz="4"/>
              <w:bottom w:val="single" w:color="808080" w:sz="4"/>
              <w:right w:val="single" w:color="808080" w:sz="4"/>
            </w:tcBorders>
            <w:shd w:fill="C6E0B4"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Thấp</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Giữ nguyên. Pháp chế xác nhận Điều 86 Luật Xây dựng 135/2025 cho phép thỏa thuận mức phạt này.</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11</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Căn cứ pháp lý</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Luật Xây dựng 135/2025/QH15, Nghị định 207/2026/NĐ-CP và 210/2026/NĐ-CP (cùng các điều được dẫn như Điều 86) chưa được kiểm chứng số hiệu, ngày ban hành, nội dung. Dẫn sai văn bản sẽ làm yếu lập luận của Bên A khi tranh chấp.</w:t>
            </w:r>
          </w:p>
        </w:tc>
        <w:tc>
          <w:tcPr>
            <w:tcW w:type="dxa" w:w="70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TB</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Pháp chế đối chiếu văn bản gốc trước khi ký.</w:t>
            </w:r>
          </w:p>
        </w:tc>
      </w:tr>
    </w:tbl>
    <w:p>
      <w:pPr>
        <w:pStyle w:val="Heading1"/>
        <w:keepNext/>
        <w:spacing w:after="120" w:before="300"/>
      </w:pPr>
      <w:r>
        <w:rPr>
          <w:rFonts w:ascii="Times New Roman" w:cs="Times New Roman" w:eastAsia="Times New Roman" w:hAnsi="Times New Roman"/>
          <w:b/>
          <w:bCs/>
          <w:color w:val="1F3864"/>
          <w:sz w:val="28"/>
          <w:szCs w:val="28"/>
        </w:rPr>
        <w:t xml:space="preserve">V. ĐỀ XUẤT TRÌNH TỰ</w:t>
      </w:r>
    </w:p>
    <w:p>
      <w:pPr>
        <w:spacing w:after="100" w:before="0" w:line="300"/>
        <w:jc w:val="both"/>
      </w:pPr>
      <w:r>
        <w:rPr>
          <w:rFonts w:ascii="Times New Roman" w:cs="Times New Roman" w:eastAsia="Times New Roman" w:hAnsi="Times New Roman"/>
          <w:sz w:val="26"/>
          <w:szCs w:val="26"/>
        </w:rPr>
        <w:t xml:space="preserve">1. Xử lý Mục III (bắt buộc), trong đó quyết định phương án cho 17.1c.</w:t>
      </w:r>
    </w:p>
    <w:p>
      <w:pPr>
        <w:spacing w:after="100" w:before="0" w:line="300"/>
        <w:jc w:val="both"/>
      </w:pPr>
      <w:r>
        <w:rPr>
          <w:rFonts w:ascii="Times New Roman" w:cs="Times New Roman" w:eastAsia="Times New Roman" w:hAnsi="Times New Roman"/>
          <w:sz w:val="26"/>
          <w:szCs w:val="26"/>
        </w:rPr>
        <w:t xml:space="preserve">2. Chọn các mục ở Mục IV đưa vào bản gửi PH. Tối thiểu nên sửa #2 và #3: đây là lỗi lệch mốc do chính bản của Bên A tạo ra, sửa không làm mở lại nội dung đã thống nhất.</w:t>
      </w:r>
    </w:p>
    <w:p>
      <w:pPr>
        <w:spacing w:after="100" w:before="0" w:line="300"/>
        <w:jc w:val="both"/>
      </w:pPr>
      <w:r>
        <w:rPr>
          <w:rFonts w:ascii="Times New Roman" w:cs="Times New Roman" w:eastAsia="Times New Roman" w:hAnsi="Times New Roman"/>
          <w:sz w:val="26"/>
          <w:szCs w:val="26"/>
        </w:rPr>
        <w:t xml:space="preserve">3. Các mục #1, #4, #8 đụng vào điểm đã “đồng ý PH” tại biên bản 17/10, nên đưa ra ở buổi đàm phán của lãnh đạo.</w:t>
      </w:r>
    </w:p>
    <w:p>
      <w:pPr>
        <w:spacing w:after="100" w:before="0" w:line="300"/>
        <w:jc w:val="both"/>
      </w:pPr>
      <w:r>
        <w:rPr>
          <w:rFonts w:ascii="Times New Roman" w:cs="Times New Roman" w:eastAsia="Times New Roman" w:hAnsi="Times New Roman"/>
          <w:sz w:val="26"/>
          <w:szCs w:val="26"/>
        </w:rPr>
        <w:t xml:space="preserve">4. Pháp chế kiểm tra #11 trước khi trình ký.</w:t>
      </w:r>
    </w:p>
    <w:sectPr>
      <w:footerReference w:type="default" r:id="rId7"/>
      <w:pgSz w:w="11906" w:h="16838" w:orient="portrait"/>
      <w:pgMar w:top="1134" w:right="1000"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Times New Roman" w:cs="Times New Roman" w:eastAsia="Times New Roman" w:hAnsi="Times New Roman"/>
      <w:b/>
      <w:bCs/>
      <w:sz w:val="28"/>
      <w:szCs w:val="28"/>
    </w:rPr>
  </w:style>
  <w:style w:type="paragraph" w:styleId="Heading2">
    <w:name w:val="Heading 2"/>
    <w:basedOn w:val="Normal"/>
    <w:next w:val="Normal"/>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2026-10-19T07:07:24.728Z</dcterms:created>
  <dcterms:modified xsi:type="dcterms:W3CDTF">2026-10-19T07:07:24.728Z</dcterms:modified>
</cp:coreProperties>
</file>

<file path=docProps/custom.xml><?xml version="1.0" encoding="utf-8"?>
<Properties xmlns="http://schemas.openxmlformats.org/officeDocument/2006/custom-properties" xmlns:vt="http://schemas.openxmlformats.org/officeDocument/2006/docPropsVTypes"/>
</file>