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6"/>
          <w:szCs w:val="26"/>
        </w:rPr>
        <w:t xml:space="preserve">BIỂU 02</w:t>
      </w:r>
    </w:p>
    <w:p>
      <w:pPr>
        <w:spacing w:after="0" w:before="0" w:line="276"/>
        <w:jc w:val="center"/>
      </w:pPr>
      <w:r>
        <w:rPr>
          <w:rFonts w:ascii="Times New Roman" w:cs="Times New Roman" w:eastAsia="Times New Roman" w:hAnsi="Times New Roman"/>
          <w:b/>
          <w:bCs/>
          <w:sz w:val="26"/>
          <w:szCs w:val="26"/>
        </w:rPr>
        <w:t xml:space="preserve">PHẠM VI CÔNG VIỆC, CÁCH TÍNH KHỐI LƯỢNG VÀ BAO HÀM ĐƠN GIÁ</w:t>
      </w:r>
    </w:p>
    <w:p>
      <w:pPr>
        <w:spacing w:after="200" w:before="0" w:line="276"/>
        <w:jc w:val="center"/>
      </w:pPr>
      <w:r>
        <w:rPr>
          <w:rFonts w:ascii="Times New Roman" w:cs="Times New Roman" w:eastAsia="Times New Roman" w:hAnsi="Times New Roman"/>
          <w:i/>
          <w:iCs/>
          <w:sz w:val="26"/>
          <w:szCs w:val="26"/>
        </w:rPr>
        <w:t xml:space="preserve">(Kèm theo hợp đồng số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/2026/HĐ/VNCNEC-</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ngày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tháng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năm 2026)</w:t>
      </w:r>
    </w:p>
    <w:p>
      <w:pPr>
        <w:spacing w:after="80" w:before="0" w:line="276"/>
        <w:jc w:val="both"/>
      </w:pPr>
      <w:r>
        <w:rPr>
          <w:rFonts w:ascii="Times New Roman" w:cs="Times New Roman" w:eastAsia="Times New Roman" w:hAnsi="Times New Roman"/>
          <w:b/>
          <w:bCs/>
          <w:sz w:val="26"/>
          <w:szCs w:val="26"/>
        </w:rPr>
        <w:t xml:space="preserve">I. Phạm vi công việc</w:t>
      </w:r>
    </w:p>
    <w:p>
      <w:pPr>
        <w:spacing w:after="80" w:before="0" w:line="276"/>
        <w:jc w:val="both"/>
      </w:pPr>
      <w:r>
        <w:rPr>
          <w:rFonts w:ascii="Times New Roman" w:cs="Times New Roman" w:eastAsia="Times New Roman" w:hAnsi="Times New Roman"/>
          <w:sz w:val="26"/>
          <w:szCs w:val="26"/>
        </w:rPr>
        <w:t xml:space="preserve">Bên B thực hiện thi công Phần ngầm theo Điều 1.20 Hợp đồng, bao gồm nhưng không giới hạn các công việc sau:</w:t>
      </w:r>
    </w:p>
    <w:p>
      <w:pPr>
        <w:spacing w:after="80" w:before="0" w:line="276"/>
        <w:jc w:val="both"/>
      </w:pPr>
      <w:r>
        <w:rPr>
          <w:rFonts w:ascii="Times New Roman" w:cs="Times New Roman" w:eastAsia="Times New Roman" w:hAnsi="Times New Roman"/>
          <w:sz w:val="26"/>
          <w:szCs w:val="26"/>
        </w:rPr>
        <w:t xml:space="preserve">1. Tiếp nhận, quản lý mặt bằng thi công, hố móng do Bên A, Nhà thầu khác bàn giao; tiếp nhận và bảo vệ tim, cốt, mốc giới Công trình trong khi thi công.</w:t>
      </w:r>
    </w:p>
    <w:p>
      <w:pPr>
        <w:spacing w:after="80" w:before="0" w:line="276"/>
        <w:jc w:val="both"/>
      </w:pPr>
      <w:r>
        <w:rPr>
          <w:rFonts w:ascii="Times New Roman" w:cs="Times New Roman" w:eastAsia="Times New Roman" w:hAnsi="Times New Roman"/>
          <w:sz w:val="26"/>
          <w:szCs w:val="26"/>
        </w:rPr>
        <w:t xml:space="preserve">2. Chuẩn bị đường công vụ, mặt bằng đứng máy, bãi gia công cốt thép và các hạng mục phụ trợ cần thiết; vận hành cầu rửa xe, hệ thống điện tạm, chiếu sáng và hàng rào do Bên A bàn giao theo Biểu 03.</w:t>
      </w:r>
    </w:p>
    <w:p>
      <w:pPr>
        <w:spacing w:after="80" w:before="0" w:line="276"/>
        <w:jc w:val="both"/>
      </w:pPr>
      <w:r>
        <w:rPr>
          <w:rFonts w:ascii="Times New Roman" w:cs="Times New Roman" w:eastAsia="Times New Roman" w:hAnsi="Times New Roman"/>
          <w:sz w:val="26"/>
          <w:szCs w:val="26"/>
        </w:rPr>
        <w:t xml:space="preserve">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spacing w:after="80" w:before="0" w:line="276"/>
        <w:jc w:val="both"/>
      </w:pPr>
      <w:r>
        <w:rPr>
          <w:rFonts w:ascii="Times New Roman" w:cs="Times New Roman" w:eastAsia="Times New Roman" w:hAnsi="Times New Roman"/>
          <w:sz w:val="26"/>
          <w:szCs w:val="26"/>
        </w:rPr>
        <w:t xml:space="preserve">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spacing w:after="80" w:before="0" w:line="276"/>
        <w:jc w:val="both"/>
      </w:pPr>
      <w:r>
        <w:rPr>
          <w:rFonts w:ascii="Times New Roman" w:cs="Times New Roman" w:eastAsia="Times New Roman" w:hAnsi="Times New Roman"/>
          <w:sz w:val="26"/>
          <w:szCs w:val="26"/>
        </w:rPr>
        <w:t xml:space="preserve">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spacing w:after="80" w:before="0" w:line="276"/>
        <w:jc w:val="both"/>
      </w:pPr>
      <w:r>
        <w:rPr>
          <w:rFonts w:ascii="Times New Roman" w:cs="Times New Roman" w:eastAsia="Times New Roman" w:hAnsi="Times New Roman"/>
          <w:sz w:val="26"/>
          <w:szCs w:val="26"/>
        </w:rPr>
        <w:t xml:space="preserve">6. Tuyển dụng, đào tạo, tổ chức, quản lý và giám sát lao động trên Công trường; bảo đảm người lao động được hướng dẫn phương pháp làm việc và an toàn lao động, vệ sinh môi trường.</w:t>
      </w:r>
    </w:p>
    <w:p>
      <w:pPr>
        <w:spacing w:after="80" w:before="0" w:line="276"/>
        <w:jc w:val="both"/>
      </w:pPr>
      <w:r>
        <w:rPr>
          <w:rFonts w:ascii="Times New Roman" w:cs="Times New Roman" w:eastAsia="Times New Roman" w:hAnsi="Times New Roman"/>
          <w:sz w:val="26"/>
          <w:szCs w:val="26"/>
        </w:rPr>
        <w:t xml:space="preserve">7. Cung cấp, quản lý việc đi lại trong khu vực thi công của Bên B; việc đến và đi từ Công trường một cách an toàn, có trật tự đối với nhân lực của Bên B.</w:t>
      </w:r>
    </w:p>
    <w:p>
      <w:pPr>
        <w:spacing w:after="80" w:before="0" w:line="276"/>
        <w:jc w:val="both"/>
      </w:pPr>
      <w:r>
        <w:rPr>
          <w:rFonts w:ascii="Times New Roman" w:cs="Times New Roman" w:eastAsia="Times New Roman" w:hAnsi="Times New Roman"/>
          <w:sz w:val="26"/>
          <w:szCs w:val="26"/>
        </w:rPr>
        <w:t xml:space="preserve">8. Thu xếp vận chuyển, lưu kho, bảo quản vật tư, thiết bị; thủ tục hải quan đối với vật tư, thiết bị nhập khẩu (nếu có).</w:t>
      </w:r>
    </w:p>
    <w:p>
      <w:pPr>
        <w:spacing w:after="80" w:before="0" w:line="276"/>
        <w:jc w:val="both"/>
      </w:pPr>
      <w:r>
        <w:rPr>
          <w:rFonts w:ascii="Times New Roman" w:cs="Times New Roman" w:eastAsia="Times New Roman" w:hAnsi="Times New Roman"/>
          <w:sz w:val="26"/>
          <w:szCs w:val="26"/>
        </w:rPr>
        <w:t xml:space="preserve">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spacing w:after="80" w:before="0" w:line="276"/>
        <w:jc w:val="both"/>
      </w:pPr>
      <w:r>
        <w:rPr>
          <w:rFonts w:ascii="Times New Roman" w:cs="Times New Roman" w:eastAsia="Times New Roman" w:hAnsi="Times New Roman"/>
          <w:sz w:val="26"/>
          <w:szCs w:val="26"/>
        </w:rPr>
        <w:t xml:space="preserve">10. Thi công đúng Hồ sơ thiết kế, Chỉ dẫn kỹ thuật, quy chuẩn, tiêu chuẩn áp dụng và quy định của cơ quan có thẩm quyền; thí nghiệm vật liệu, thử kín nước chống thấm.</w:t>
      </w:r>
    </w:p>
    <w:p>
      <w:pPr>
        <w:spacing w:after="80" w:before="0" w:line="276"/>
        <w:jc w:val="both"/>
      </w:pPr>
      <w:r>
        <w:rPr>
          <w:rFonts w:ascii="Times New Roman" w:cs="Times New Roman" w:eastAsia="Times New Roman" w:hAnsi="Times New Roman"/>
          <w:sz w:val="26"/>
          <w:szCs w:val="26"/>
        </w:rPr>
        <w:t xml:space="preserve">11. Kiểm soát chất lượng công việc; xử lý, khắc phục sai sót, khiếm khuyết về chất lượng trong quá trình thi công và bảo hành.</w:t>
      </w:r>
    </w:p>
    <w:p>
      <w:pPr>
        <w:spacing w:after="80" w:before="0" w:line="276"/>
        <w:jc w:val="both"/>
      </w:pPr>
      <w:r>
        <w:rPr>
          <w:rFonts w:ascii="Times New Roman" w:cs="Times New Roman" w:eastAsia="Times New Roman" w:hAnsi="Times New Roman"/>
          <w:sz w:val="26"/>
          <w:szCs w:val="26"/>
        </w:rPr>
        <w:t xml:space="preserve">12. Thực hiện nghiệm thu công việc, nghiệm thu giai đoạn, nghiệm thu hoàn thành; lập hồ sơ chất lượng, hồ sơ hoàn công, hồ sơ thanh toán, quyết toán.</w:t>
      </w:r>
    </w:p>
    <w:p>
      <w:pPr>
        <w:spacing w:after="80" w:before="0" w:line="276"/>
        <w:jc w:val="both"/>
      </w:pPr>
      <w:r>
        <w:rPr>
          <w:rFonts w:ascii="Times New Roman" w:cs="Times New Roman" w:eastAsia="Times New Roman" w:hAnsi="Times New Roman"/>
          <w:sz w:val="26"/>
          <w:szCs w:val="26"/>
        </w:rPr>
        <w:t xml:space="preserve">13. Thực hiện các công tác bảo đảm an toàn, bảo vệ môi trường, phòng chống cháy nổ, an ninh trật tự, quan trắc công trình lân cận trong phạm vi Hợp đồng.</w:t>
      </w:r>
    </w:p>
    <w:p>
      <w:pPr>
        <w:spacing w:after="80" w:before="0" w:line="276"/>
        <w:jc w:val="both"/>
      </w:pPr>
      <w:r>
        <w:rPr>
          <w:rFonts w:ascii="Times New Roman" w:cs="Times New Roman" w:eastAsia="Times New Roman" w:hAnsi="Times New Roman"/>
          <w:sz w:val="26"/>
          <w:szCs w:val="26"/>
        </w:rPr>
        <w:t xml:space="preserve">14. Hợp tác với Bên A và các Nhà thầu khác trên Công trường; tháo dỡ, nhổ cừ, thu dọn mặt bằng và bàn giao Hạng mục công trình sau khi hoàn thành.</w:t>
      </w:r>
    </w:p>
    <w:p>
      <w:pPr>
        <w:spacing w:after="80" w:before="0" w:line="276"/>
        <w:jc w:val="both"/>
      </w:pPr>
      <w:r>
        <w:rPr>
          <w:rFonts w:ascii="Times New Roman" w:cs="Times New Roman" w:eastAsia="Times New Roman" w:hAnsi="Times New Roman"/>
          <w:sz w:val="26"/>
          <w:szCs w:val="26"/>
        </w:rPr>
        <w:t xml:space="preserve">15. Các công việc khác theo Biểu 03 [Ma trận phân chia phạm vi công việc và trách nhiệm] và thỏa thuận của Hợp đồng.</w:t>
      </w:r>
    </w:p>
    <w:p>
      <w:pPr>
        <w:spacing w:after="80" w:before="120" w:line="276"/>
        <w:jc w:val="both"/>
      </w:pPr>
      <w:r>
        <w:rPr>
          <w:rFonts w:ascii="Times New Roman" w:cs="Times New Roman" w:eastAsia="Times New Roman" w:hAnsi="Times New Roman"/>
          <w:b/>
          <w:bCs/>
          <w:sz w:val="26"/>
          <w:szCs w:val="26"/>
        </w:rPr>
        <w:t xml:space="preserve">II. Nguyên tắc tính khối lượng</w:t>
      </w:r>
    </w:p>
    <w:p>
      <w:pPr>
        <w:spacing w:after="80" w:before="0" w:line="276"/>
        <w:jc w:val="both"/>
      </w:pPr>
      <w:r>
        <w:rPr>
          <w:rFonts w:ascii="Times New Roman" w:cs="Times New Roman" w:eastAsia="Times New Roman" w:hAnsi="Times New Roman"/>
          <w:sz w:val="26"/>
          <w:szCs w:val="26"/>
        </w:rPr>
        <w:t xml:space="preserve">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spacing w:after="80" w:before="0" w:line="276"/>
        <w:jc w:val="both"/>
      </w:pPr>
      <w:r>
        <w:rPr>
          <w:rFonts w:ascii="Times New Roman" w:cs="Times New Roman" w:eastAsia="Times New Roman" w:hAnsi="Times New Roman"/>
          <w:sz w:val="26"/>
          <w:szCs w:val="26"/>
        </w:rPr>
        <w:t xml:space="preserve">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spacing w:after="160" w:before="0" w:line="276"/>
        <w:jc w:val="both"/>
      </w:pPr>
      <w:r>
        <w:rPr>
          <w:rFonts w:ascii="Times New Roman" w:cs="Times New Roman" w:eastAsia="Times New Roman" w:hAnsi="Times New Roman"/>
          <w:sz w:val="26"/>
          <w:szCs w:val="26"/>
        </w:rPr>
        <w:t xml:space="preserve">3. Nội dung đo bóc chưa quy định tại Biểu này áp dụng </w:t>
      </w:r>
      <w:r>
        <w:rPr>
          <w:rFonts w:ascii="Times New Roman" w:cs="Times New Roman" w:eastAsia="Times New Roman" w:hAnsi="Times New Roman"/>
          <w:sz w:val="26"/>
          <w:szCs w:val="26"/>
          <w:highlight w:val="yellow"/>
          <w:highlightCs w:val="yellow"/>
        </w:rPr>
        <w:t xml:space="preserve">hướng dẫn đo bóc khối lượng xây dựng công trình của Bộ Xây dựng hiện hành</w:t>
      </w:r>
      <w:r>
        <w:rPr>
          <w:rFonts w:ascii="Times New Roman" w:cs="Times New Roman" w:eastAsia="Times New Roman" w:hAnsi="Times New Roman"/>
          <w:sz w:val="26"/>
          <w:szCs w:val="26"/>
        </w:rPr>
        <w:t xml:space="preserve">.</w:t>
      </w:r>
    </w:p>
    <w:p>
      <w:pPr>
        <w:spacing w:after="80" w:before="0" w:line="276"/>
        <w:jc w:val="both"/>
      </w:pPr>
      <w:r>
        <w:rPr>
          <w:rFonts w:ascii="Times New Roman" w:cs="Times New Roman" w:eastAsia="Times New Roman" w:hAnsi="Times New Roman"/>
          <w:b/>
          <w:bCs/>
          <w:sz w:val="26"/>
          <w:szCs w:val="26"/>
        </w:rPr>
        <w:t xml:space="preserve">III. Cách tính khối lượng và bao hàm đơn giá</w:t>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750"/>
        <w:gridCol w:w="2900"/>
        <w:gridCol w:w="2922"/>
      </w:tblGrid>
      <w:tr>
        <w:trPr>
          <w:tblHeader/>
        </w:trPr>
        <w:tc>
          <w:tcPr>
            <w:tcW w:type="dxa" w:w="50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2"/>
                <w:szCs w:val="22"/>
              </w:rPr>
              <w:t xml:space="preserve">TT</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2"/>
                <w:szCs w:val="22"/>
              </w:rPr>
              <w:t xml:space="preserve">Công việc</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2"/>
                <w:szCs w:val="22"/>
              </w:rPr>
              <w:t xml:space="preserve">Đơn vị</w:t>
            </w:r>
          </w:p>
        </w:tc>
        <w:tc>
          <w:tcPr>
            <w:tcW w:type="dxa" w:w="290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2"/>
                <w:szCs w:val="22"/>
              </w:rPr>
              <w:t xml:space="preserve">Cách tính khối lượng</w:t>
            </w:r>
          </w:p>
        </w:tc>
        <w:tc>
          <w:tcPr>
            <w:tcW w:type="dxa" w:w="2922"/>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2"/>
                <w:szCs w:val="22"/>
              </w:rPr>
              <w:t xml:space="preserve">Đơn giá bao gồm</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cừ Larsen IV dài 12m, 18m</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Chiều dài cừ theo thiết kế biện pháp được phê duyệt; không tính cừ hỏng, cừ bổ sung do lỗi Bên B</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vận chuyển, nâng hạ, duy trì cừ trong suốt thời gian thi công</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2</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Đóng cừ, rút cừ</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Chiều dài thanh cừ thực tế đóng, rút; không vượt thiết kế biện pháp</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Máy, nhân công, xử lý vướng; </w:t>
            </w:r>
            <w:r>
              <w:rPr>
                <w:rFonts w:ascii="Times New Roman" w:cs="Times New Roman" w:eastAsia="Times New Roman" w:hAnsi="Times New Roman"/>
                <w:sz w:val="22"/>
                <w:szCs w:val="22"/>
                <w:highlight w:val="yellow"/>
                <w:highlightCs w:val="yellow"/>
              </w:rPr>
              <w:t xml:space="preserve">lấp lỗ rỗng sau khi nhổ cừ</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Chi phí lưu cừ, lưu văng chống</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md/tháng</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Tính từ ngày kết thúc tiến độ được duyệt; tháng chưa tròn tính theo số ngày thực tế</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Chỉ áp dụng khi kéo dài do lỗi của Bên A và được Bên A chấp thuận bằng văn bản</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4</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Văng chống H350x350x12x19 (cung cấp, lắp, tháo)</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kg</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Trọng lượng lý thuyết thép hình theo bản vẽ biện pháp; không tính bản mã, bu lông, hao hụt</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vận chuyển, nâng hạ, gia công, hàn, cắt chi tiết; lắp dựng, duy trì, tháo dỡ</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5</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Bê tông chèn dầm biên, Sika grout đầu cột, bê tông chèn cừ</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m3; m2</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Theo bản vẽ thiết kế, biện pháp được phê duyệt</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vật liệu, thi công, bảo dưỡng</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6</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Bê tông lót, móng, cột, vách, tường, sàn, dầm, thang bộ, ram dốc, sàn tăng cường</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m3</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Thể tích hình học theo bản vẽ; </w:t>
            </w:r>
            <w:r>
              <w:rPr>
                <w:rFonts w:ascii="Times New Roman" w:cs="Times New Roman" w:eastAsia="Times New Roman" w:hAnsi="Times New Roman"/>
                <w:sz w:val="22"/>
                <w:szCs w:val="22"/>
                <w:highlight w:val="yellow"/>
                <w:highlightCs w:val="yellow"/>
              </w:rPr>
              <w:t xml:space="preserve">không trừ thể tích cốt thép và lỗ rỗng nhỏ hơn 0,1 m3</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Bê tông thương phẩm đúng mác thiết kế (thương hiệu theo Biểu 07), phụ gia, bơm, đổ, đầm, bảo dưỡng, thí nghiệm, xử lý mạch ngừng</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7</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Cốt thép các loại</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tấn</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Trọng lượng theo bảng thống kê thép bản vẽ thi công được duyệt; </w:t>
            </w:r>
            <w:r>
              <w:rPr>
                <w:rFonts w:ascii="Times New Roman" w:cs="Times New Roman" w:eastAsia="Times New Roman" w:hAnsi="Times New Roman"/>
                <w:sz w:val="22"/>
                <w:szCs w:val="22"/>
                <w:highlight w:val="yellow"/>
                <w:highlightCs w:val="yellow"/>
              </w:rPr>
              <w:t xml:space="preserve">không tính nối chồng ngoài thiết kế, thép biện pháp, con kê</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gia công, lắp dựng, nối, buộc, con kê, cắt mẫu thí nghiệm</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8</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Ván khuôn các loại</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m2</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Diện tích bề mặt bê tông tiếp xúc ván khuôn theo bản vẽ; </w:t>
            </w:r>
            <w:r>
              <w:rPr>
                <w:rFonts w:ascii="Times New Roman" w:cs="Times New Roman" w:eastAsia="Times New Roman" w:hAnsi="Times New Roman"/>
                <w:sz w:val="22"/>
                <w:szCs w:val="22"/>
                <w:highlight w:val="yellow"/>
                <w:highlightCs w:val="yellow"/>
              </w:rPr>
              <w:t xml:space="preserve">trừ lỗ mở lớn hơn 1 m2</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lắp dựng, cây chống, giàn giáo, tháo dỡ, vệ sinh, chống dính</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9</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Bể nước sinh hoạt, bể nước PCCC, bể nước xử lý nước thải</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m3; tấn; m2</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Như mục 6, 7, 8; khối lượng tạm tính, điều chỉnh bằng phụ lục theo thiết kế được duyệt</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Như mục 6, 7, 8</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10</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Chống thấm nền tầng hầm</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m2</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Diện tích mặt bằng chống thấm theo bản vẽ; </w:t>
            </w:r>
            <w:r>
              <w:rPr>
                <w:rFonts w:ascii="Times New Roman" w:cs="Times New Roman" w:eastAsia="Times New Roman" w:hAnsi="Times New Roman"/>
                <w:sz w:val="22"/>
                <w:szCs w:val="22"/>
                <w:highlight w:val="yellow"/>
                <w:highlightCs w:val="yellow"/>
              </w:rPr>
              <w:t xml:space="preserve">không tính chồng mí, gấp mép</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Vật liệu theo Biểu 07, băng dính, xử lý đầu cọc, cổ ống, góc; thử nước; bảo vệ lớp chống thấm</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11</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Chống thấm tường tầng hầm</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m2</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Như mục 10</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Như mục 10, kèm xốp PE bảo vệ</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12</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Mạch ngừng (có và không có băng cản nước)</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md</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Chiều dài theo bản vẽ hoặc biện pháp phân zone được Bên A phê duyệt</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Băng cản nước, vệ sinh, xử lý mạch ngừng</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13</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Lấp cát chèn cừ</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m3</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Theo hồ sơ hoàn công, không vượt thiết kế biện pháp</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Cung cấp cát, vận chuyển, đầm</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14</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Đánh mặt bê tông chống nứt</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m2</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Diện tích mặt sàn theo bản vẽ</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Nhân công, máy</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15</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Phá dỡ, vận chuyển bê tông sàn bịt ram dốc biện pháp</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m3</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Thể tích phá dỡ thực tế được nghiệm thu</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Phá dỡ, vận chuyển, đổ thải hợp pháp</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16</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Gia cố nền đất yếu</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Gói</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Trọn gói, không điều chỉnh</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Phên nứa, rải gia cố đường giao thông, kho bãi</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17</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Thu nước hố móng, hạ mực nước ngầm</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Gói</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Trọn gói, không điều chỉnh</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Thiết bị, nhân lực, nguồn điện dự phòng, vận hành liên tục suốt thời gian thi công Phần ngầm</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18</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Móng cẩu tháp</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Gói</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Trọn gói, không điều chỉnh</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Toàn bộ kết cấu móng cẩu tháp</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19</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Chi phí chung</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Gói</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Trọn gói, thanh toán theo Điều 10.3.2</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Văn phòng, lán trại, điện nước thi công, an toàn lao động, vệ sinh môi trường, bảo vệ, cầu rửa xe, huy động và giải thể (theo mục 4, 6, 7 Biểu 03)</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20</w:t>
            </w:r>
          </w:p>
        </w:tc>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Cẩu tháp</w:t>
            </w:r>
          </w:p>
        </w:tc>
        <w:tc>
          <w:tcPr>
            <w:tcW w:type="dxa" w:w="75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sz w:val="22"/>
                <w:szCs w:val="22"/>
              </w:rPr>
              <w:t xml:space="preserve">Gói</w:t>
            </w:r>
          </w:p>
        </w:tc>
        <w:tc>
          <w:tcPr>
            <w:tcW w:type="dxa" w:w="2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rPr>
              <w:t xml:space="preserve">Trọn gói, thanh toán theo Điều 10.3.2</w:t>
            </w:r>
          </w:p>
        </w:tc>
        <w:tc>
          <w:tcPr>
            <w:tcW w:type="dxa" w:w="29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sz w:val="22"/>
                <w:szCs w:val="22"/>
                <w:highlight w:val="yellow"/>
                <w:highlightCs w:val="yellow"/>
              </w:rPr>
              <w:t xml:space="preserve">Cung cấp, vận chuyển, lắp dựng, kiểm định, vận hành, bảo dưỡng, tháo dỡ cẩu tháp trong thời gian thi công Phần ngầm</w:t>
            </w:r>
          </w:p>
        </w:tc>
      </w:tr>
    </w:tbl>
    <w:p>
      <w:pPr>
        <w:spacing w:after="80" w:before="200" w:line="276"/>
        <w:jc w:val="both"/>
      </w:pPr>
      <w:r>
        <w:rPr>
          <w:rFonts w:ascii="Times New Roman" w:cs="Times New Roman" w:eastAsia="Times New Roman" w:hAnsi="Times New Roman"/>
          <w:b/>
          <w:bCs/>
          <w:sz w:val="26"/>
          <w:szCs w:val="26"/>
        </w:rPr>
        <w:t xml:space="preserve">IV. Không bao gồm trong phạm vi và đơn giá</w:t>
      </w:r>
    </w:p>
    <w:p>
      <w:pPr>
        <w:spacing w:after="80" w:before="0" w:line="276"/>
        <w:jc w:val="both"/>
      </w:pPr>
      <w:r>
        <w:rPr>
          <w:rFonts w:ascii="Times New Roman" w:cs="Times New Roman" w:eastAsia="Times New Roman" w:hAnsi="Times New Roman"/>
          <w:sz w:val="26"/>
          <w:szCs w:val="26"/>
        </w:rPr>
        <w:t xml:space="preserve">Công tác đất (đào, vận chuyển, đắp đất, đập đầu cọc, san gạt nền); công tác chống mối; cọc khoan nhồi móng cẩu tháp; phá dỡ móng cẩu tháp và cọc khoan nhồi; công tác hoàn thiện ướt; quan trắc chuyển vị hệ cừ, văng chống (Bên A thực hiện theo Biểu 03).</w:t>
      </w:r>
    </w:p>
    <w:sectPr>
      <w:pgSz w:w="11907" w:h="16840"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2026-10-14T06:05:14.362Z</dcterms:created>
  <dcterms:modified xsi:type="dcterms:W3CDTF">2026-10-14T06:05:14.362Z</dcterms:modified>
</cp:coreProperties>
</file>

<file path=docProps/custom.xml><?xml version="1.0" encoding="utf-8"?>
<Properties xmlns="http://schemas.openxmlformats.org/officeDocument/2006/custom-properties" xmlns:vt="http://schemas.openxmlformats.org/officeDocument/2006/docPropsVTypes"/>
</file>