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300"/>
        <w:gridCol w:w="5338"/>
      </w:tblGrid>
      <w:tr>
        <w:tc>
          <w:tcPr>
            <w:tcW w:type="dxa" w:w="4300"/>
            <w:tcBorders>
              <w:top w:val="none"/>
              <w:left w:val="none"/>
              <w:bottom w:val="none"/>
              <w:right w:val="none"/>
            </w:tcBorders>
          </w:tcPr>
          <w:p>
            <w:pPr>
              <w:spacing w:after="0" w:before="0" w:line="300"/>
              <w:ind w:firstLine="0"/>
              <w:jc w:val="center"/>
            </w:pPr>
            <w:r>
              <w:rPr>
                <w:rFonts w:ascii="Times New Roman" w:cs="Times New Roman" w:eastAsia="Times New Roman" w:hAnsi="Times New Roman"/>
                <w:b/>
                <w:bCs/>
                <w:sz w:val="24"/>
                <w:szCs w:val="24"/>
              </w:rPr>
              <w:t xml:space="preserve">CÔNG TY CP ĐẦU TƯ XÂY DỰNG VÀ KỸ THUẬT VNCN E&amp;C</w:t>
            </w:r>
          </w:p>
          <w:p>
            <w:pPr>
              <w:spacing w:after="0" w:before="0" w:line="300"/>
              <w:ind w:firstLine="0"/>
              <w:jc w:val="center"/>
            </w:pPr>
            <w:r>
              <w:rPr>
                <w:rFonts w:ascii="Times New Roman" w:cs="Times New Roman" w:eastAsia="Times New Roman" w:hAnsi="Times New Roman"/>
                <w:b/>
                <w:bCs/>
                <w:sz w:val="24"/>
                <w:szCs w:val="24"/>
                <w:highlight w:val="yellow"/>
              </w:rPr>
              <w:t xml:space="preserve">BAN/PHÒNG LẬP BÁO CÁO</w:t>
            </w:r>
          </w:p>
          <w:p>
            <w:pPr>
              <w:spacing w:after="100" w:before="0" w:line="300"/>
              <w:ind w:firstLine="0"/>
              <w:jc w:val="center"/>
            </w:pPr>
            <w:r>
              <w:rPr>
                <w:rFonts w:ascii="Times New Roman" w:cs="Times New Roman" w:eastAsia="Times New Roman" w:hAnsi="Times New Roman"/>
                <w:sz w:val="24"/>
                <w:szCs w:val="24"/>
              </w:rPr>
              <w:t xml:space="preserve">Số: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/BC-</w:t>
            </w:r>
            <w:r>
              <w:rPr>
                <w:rFonts w:ascii="Times New Roman" w:cs="Times New Roman" w:eastAsia="Times New Roman" w:hAnsi="Times New Roman"/>
                <w:sz w:val="24"/>
                <w:szCs w:val="24"/>
                <w:highlight w:val="yellow"/>
              </w:rPr>
              <w:t xml:space="preserve">……</w:t>
            </w:r>
          </w:p>
        </w:tc>
        <w:tc>
          <w:tcPr>
            <w:tcW w:type="dxa" w:w="5338"/>
            <w:tcBorders>
              <w:top w:val="none"/>
              <w:left w:val="none"/>
              <w:bottom w:val="none"/>
              <w:right w:val="none"/>
            </w:tcBorders>
          </w:tcPr>
          <w:p>
            <w:pPr>
              <w:spacing w:after="0" w:before="0" w:line="300"/>
              <w:ind w:firstLine="0"/>
              <w:jc w:val="center"/>
            </w:pPr>
            <w:r>
              <w:rPr>
                <w:rFonts w:ascii="Times New Roman" w:cs="Times New Roman" w:eastAsia="Times New Roman" w:hAnsi="Times New Roman"/>
                <w:b/>
                <w:bCs/>
                <w:sz w:val="24"/>
                <w:szCs w:val="24"/>
              </w:rPr>
              <w:t xml:space="preserve">CỘNG HÒA XÃ HỘI CHỦ NGHĨA VIỆT NAM</w:t>
            </w:r>
          </w:p>
          <w:p>
            <w:pPr>
              <w:spacing w:after="0" w:before="0" w:line="300"/>
              <w:ind w:firstLine="0"/>
              <w:jc w:val="center"/>
            </w:pPr>
            <w:r>
              <w:rPr>
                <w:rFonts w:ascii="Times New Roman" w:cs="Times New Roman" w:eastAsia="Times New Roman" w:hAnsi="Times New Roman"/>
                <w:b/>
                <w:bCs/>
                <w:sz w:val="26"/>
                <w:szCs w:val="26"/>
              </w:rPr>
              <w:t xml:space="preserve">Độc lập – Tự do – Hạnh phúc</w:t>
            </w:r>
          </w:p>
          <w:p>
            <w:pPr>
              <w:spacing w:after="100" w:before="0" w:line="300"/>
              <w:ind w:firstLine="0"/>
              <w:jc w:val="center"/>
            </w:pPr>
            <w:r>
              <w:rPr>
                <w:rFonts w:ascii="Times New Roman" w:cs="Times New Roman" w:eastAsia="Times New Roman" w:hAnsi="Times New Roman"/>
                <w:i/>
                <w:iCs/>
                <w:sz w:val="24"/>
                <w:szCs w:val="24"/>
              </w:rPr>
              <w:t xml:space="preserve">Hà Nội, ngày </w:t>
            </w:r>
            <w:r>
              <w:rPr>
                <w:rFonts w:ascii="Times New Roman" w:cs="Times New Roman" w:eastAsia="Times New Roman" w:hAnsi="Times New Roman"/>
                <w:i/>
                <w:iCs/>
                <w:sz w:val="24"/>
                <w:szCs w:val="24"/>
                <w:highlight w:val="yellow"/>
              </w:rPr>
              <w:t xml:space="preserve">……</w:t>
            </w:r>
            <w:r>
              <w:rPr>
                <w:rFonts w:ascii="Times New Roman" w:cs="Times New Roman" w:eastAsia="Times New Roman" w:hAnsi="Times New Roman"/>
                <w:i/>
                <w:iCs/>
                <w:sz w:val="24"/>
                <w:szCs w:val="24"/>
              </w:rPr>
              <w:t xml:space="preserve"> tháng 10 năm 2026</w:t>
            </w:r>
          </w:p>
        </w:tc>
      </w:tr>
    </w:tbl>
    <w:p>
      <w:pPr>
        <w:spacing w:after="40" w:before="240" w:line="300"/>
        <w:ind w:firstLine="0"/>
        <w:jc w:val="center"/>
      </w:pPr>
      <w:r>
        <w:rPr>
          <w:rFonts w:ascii="Times New Roman" w:cs="Times New Roman" w:eastAsia="Times New Roman" w:hAnsi="Times New Roman"/>
          <w:b/>
          <w:bCs/>
          <w:sz w:val="30"/>
          <w:szCs w:val="30"/>
        </w:rPr>
        <w:t xml:space="preserve">BÁO CÁO</w:t>
      </w:r>
    </w:p>
    <w:p>
      <w:pPr>
        <w:spacing w:after="160" w:before="0" w:line="300"/>
        <w:ind w:firstLine="0"/>
        <w:jc w:val="center"/>
      </w:pPr>
      <w:r>
        <w:rPr>
          <w:rFonts w:ascii="Times New Roman" w:cs="Times New Roman" w:eastAsia="Times New Roman" w:hAnsi="Times New Roman"/>
          <w:b/>
          <w:bCs/>
          <w:sz w:val="26"/>
          <w:szCs w:val="26"/>
        </w:rPr>
        <w:t xml:space="preserve">Kết quả rà soát, đàm phán và đề xuất ký Hợp đồng thi công phần ngầm với Công ty Cổ phần Xây dựng Phục Hưng Holdings – Dự án NOXH Yên Sở</w:t>
      </w:r>
    </w:p>
    <w:p>
      <w:pPr>
        <w:spacing w:after="200" w:before="0" w:line="300"/>
        <w:ind w:firstLine="0"/>
        <w:jc w:val="center"/>
      </w:pPr>
      <w:r>
        <w:rPr>
          <w:rFonts w:ascii="Times New Roman" w:cs="Times New Roman" w:eastAsia="Times New Roman" w:hAnsi="Times New Roman"/>
          <w:b/>
          <w:bCs/>
          <w:sz w:val="26"/>
          <w:szCs w:val="26"/>
        </w:rPr>
        <w:t xml:space="preserve">Kính gửi: Ban Giám đốc Công ty CP Đầu tư Xây dựng và Kỹ thuật VNCN E&amp;C</w:t>
      </w:r>
    </w:p>
    <w:p>
      <w:pPr>
        <w:spacing w:after="100" w:before="200"/>
      </w:pPr>
      <w:r>
        <w:rPr>
          <w:rFonts w:ascii="Times New Roman" w:cs="Times New Roman" w:eastAsia="Times New Roman" w:hAnsi="Times New Roman"/>
          <w:b/>
          <w:bCs/>
          <w:sz w:val="26"/>
          <w:szCs w:val="26"/>
        </w:rPr>
        <w:t xml:space="preserve">I. CĂN CỨ</w:t>
      </w:r>
    </w:p>
    <w:p>
      <w:pPr>
        <w:spacing w:after="100" w:before="0" w:line="300"/>
        <w:ind w:firstLine="0"/>
        <w:jc w:val="both"/>
      </w:pPr>
      <w:r>
        <w:rPr>
          <w:rFonts w:ascii="Times New Roman" w:cs="Times New Roman" w:eastAsia="Times New Roman" w:hAnsi="Times New Roman"/>
          <w:sz w:val="26"/>
          <w:szCs w:val="26"/>
        </w:rPr>
        <w:t xml:space="preserve">- Hợp đồng tổng thầu thi công xây dựng số 01/2026/HĐTTXL/LDIFT-TP &amp; LD VNCNEC-VH ngày 16/7/2026 giữa Liên danh Công ty CP Đầu tư Tài chính và An ninh Công nghệ IFT – Công ty TNHH Phát triển Tiền Phong (Chủ đầu tư) và Liên danh VNCN E&amp;C – Việt Hưng, trong đó Công ty là thành viên đứng đầu Liên danh (sau đây gọi là “HĐ thầu chính”);</w:t>
      </w:r>
    </w:p>
    <w:p>
      <w:pPr>
        <w:spacing w:after="100" w:before="0" w:line="300"/>
        <w:ind w:firstLine="0"/>
        <w:jc w:val="both"/>
      </w:pPr>
      <w:r>
        <w:rPr>
          <w:rFonts w:ascii="Times New Roman" w:cs="Times New Roman" w:eastAsia="Times New Roman" w:hAnsi="Times New Roman"/>
          <w:sz w:val="26"/>
          <w:szCs w:val="26"/>
        </w:rPr>
        <w:t xml:space="preserve">- Chủ trương của Công ty về phạm vi gói thầu phần ngầm: không bao gồm công tác đất, chống mối, hoàn thiện ướt;</w:t>
      </w:r>
    </w:p>
    <w:p>
      <w:pPr>
        <w:spacing w:after="100" w:before="0" w:line="300"/>
        <w:ind w:firstLine="0"/>
        <w:jc w:val="both"/>
      </w:pPr>
      <w:r>
        <w:rPr>
          <w:rFonts w:ascii="Times New Roman" w:cs="Times New Roman" w:eastAsia="Times New Roman" w:hAnsi="Times New Roman"/>
          <w:sz w:val="26"/>
          <w:szCs w:val="26"/>
        </w:rPr>
        <w:t xml:space="preserve">- Ma trận phân chia phạm vi công việc ngày 14/10/2026; Biểu 01 – Chi tiết giá hợp đồng ngày 15/10/2026;</w:t>
      </w:r>
    </w:p>
    <w:p>
      <w:pPr>
        <w:spacing w:after="100" w:before="0" w:line="300"/>
        <w:ind w:firstLine="0"/>
        <w:jc w:val="both"/>
      </w:pPr>
      <w:r>
        <w:rPr>
          <w:rFonts w:ascii="Times New Roman" w:cs="Times New Roman" w:eastAsia="Times New Roman" w:hAnsi="Times New Roman"/>
          <w:sz w:val="26"/>
          <w:szCs w:val="26"/>
        </w:rPr>
        <w:t xml:space="preserve">- Biên bản thương thảo với Phục Hưng và ý kiến chỉ đạo của </w:t>
      </w:r>
      <w:r>
        <w:rPr>
          <w:rFonts w:ascii="Times New Roman" w:cs="Times New Roman" w:eastAsia="Times New Roman" w:hAnsi="Times New Roman"/>
          <w:sz w:val="26"/>
          <w:szCs w:val="26"/>
          <w:highlight w:val="yellow"/>
        </w:rPr>
        <w:t xml:space="preserve">anh Quang – chức danh</w:t>
      </w:r>
      <w:r>
        <w:rPr>
          <w:rFonts w:ascii="Times New Roman" w:cs="Times New Roman" w:eastAsia="Times New Roman" w:hAnsi="Times New Roman"/>
          <w:sz w:val="26"/>
          <w:szCs w:val="26"/>
        </w:rPr>
        <w:t xml:space="preserve">;</w:t>
      </w:r>
    </w:p>
    <w:p>
      <w:pPr>
        <w:spacing w:after="100" w:before="0" w:line="300"/>
        <w:ind w:firstLine="0"/>
        <w:jc w:val="both"/>
      </w:pPr>
      <w:r>
        <w:rPr>
          <w:rFonts w:ascii="Times New Roman" w:cs="Times New Roman" w:eastAsia="Times New Roman" w:hAnsi="Times New Roman"/>
          <w:sz w:val="26"/>
          <w:szCs w:val="26"/>
        </w:rPr>
        <w:t xml:space="preserve">- Bản chỉnh sửa dự thảo hợp đồng của Phục Hưng (file “PH vie – 261015…”), bản điều chỉnh EC_v1 ngày 16/10/2026 của </w:t>
      </w:r>
      <w:r>
        <w:rPr>
          <w:rFonts w:ascii="Times New Roman" w:cs="Times New Roman" w:eastAsia="Times New Roman" w:hAnsi="Times New Roman"/>
          <w:sz w:val="26"/>
          <w:szCs w:val="26"/>
          <w:highlight w:val="yellow"/>
        </w:rPr>
        <w:t xml:space="preserve">Ban/Phó ban …</w:t>
      </w:r>
      <w:r>
        <w:rPr>
          <w:rFonts w:ascii="Times New Roman" w:cs="Times New Roman" w:eastAsia="Times New Roman" w:hAnsi="Times New Roman"/>
          <w:sz w:val="26"/>
          <w:szCs w:val="26"/>
        </w:rPr>
        <w:t xml:space="preserve"> và bản đề xuất đàm phán EC_v3 ngày 16/10/2026;</w:t>
      </w:r>
    </w:p>
    <w:p>
      <w:pPr>
        <w:spacing w:after="100" w:before="0" w:line="300"/>
        <w:ind w:firstLine="0"/>
        <w:jc w:val="both"/>
      </w:pPr>
      <w:r>
        <w:rPr>
          <w:rFonts w:ascii="Times New Roman" w:cs="Times New Roman" w:eastAsia="Times New Roman" w:hAnsi="Times New Roman"/>
          <w:sz w:val="26"/>
          <w:szCs w:val="26"/>
        </w:rPr>
        <w:t xml:space="preserve">- Kết quả buổi đàm phán ngày 16/10/2026: </w:t>
      </w:r>
      <w:r>
        <w:rPr>
          <w:rFonts w:ascii="Times New Roman" w:cs="Times New Roman" w:eastAsia="Times New Roman" w:hAnsi="Times New Roman"/>
          <w:sz w:val="26"/>
          <w:szCs w:val="26"/>
          <w:highlight w:val="yellow"/>
        </w:rPr>
        <w:t xml:space="preserve">……</w:t>
      </w:r>
      <w:r>
        <w:rPr>
          <w:rFonts w:ascii="Times New Roman" w:cs="Times New Roman" w:eastAsia="Times New Roman" w:hAnsi="Times New Roman"/>
          <w:sz w:val="26"/>
          <w:szCs w:val="26"/>
        </w:rPr>
        <w:t xml:space="preserve">.</w:t>
      </w:r>
    </w:p>
    <w:p>
      <w:pPr>
        <w:spacing w:after="100" w:before="200"/>
      </w:pPr>
      <w:r>
        <w:rPr>
          <w:rFonts w:ascii="Times New Roman" w:cs="Times New Roman" w:eastAsia="Times New Roman" w:hAnsi="Times New Roman"/>
          <w:b/>
          <w:bCs/>
          <w:sz w:val="26"/>
          <w:szCs w:val="26"/>
        </w:rPr>
        <w:t xml:space="preserve">II. THÔNG TIN CHUNG VỀ GÓI THẦU VÀ NHÀ THẦU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Nội dung</w:t>
            </w:r>
          </w:p>
        </w:tc>
        <w:tc>
          <w:tcPr>
            <w:tcW w:type="dxa" w:w="70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Thông tin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Dự án</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Xây dựng nhà ở cho lực lượng vũ trang Công an nhân dân tại ô đất C3-ODK3 và C3-ODK4, phân khu đô thị H2-4, phường Yên Sở, TP Hà Nội (Dự án NOXH Yên Sở)</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Gói thầu</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Thi công hệ cừ, văng chống, kết cấu phần ngầm và chống thấm phần ngầm cho khối nhà ở xã hội CT1.2 và CT2 (CT2.1, CT2.2, CT2.3)</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Bên A</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Công ty CP Đầu tư Xây dựng và Kỹ thuật VNCN E&amp;C (Tổng thầu)</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Bên B</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Công ty Cổ phần Xây dựng Phục Hưng Holdings – đại diện: Ông Đặng Trọng Đức, Tổng Giám đốc</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Phạm vi công việc</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Hệ cừ, văng chống; kết cấu BTCT phần ngầm đến cao độ ±0.00; bể nước sinh hoạt, bể PCCC, bể xử lý nước thải; móng cẩu tháp; chống thấm phần ngầm. Bên B cung cấp toàn bộ vật liệu.</w:t>
            </w:r>
          </w:p>
          <w:p>
            <w:pPr>
              <w:spacing w:after="0" w:before="0" w:line="250"/>
              <w:ind w:firstLine="0"/>
              <w:jc w:val="left"/>
            </w:pPr>
            <w:r>
              <w:rPr>
                <w:rFonts w:ascii="Times New Roman" w:cs="Times New Roman" w:eastAsia="Times New Roman" w:hAnsi="Times New Roman"/>
                <w:b w:val="false"/>
                <w:bCs w:val="false"/>
                <w:sz w:val="22"/>
                <w:szCs w:val="22"/>
              </w:rPr>
              <w:t xml:space="preserve">Không bao gồm: công tác đất, chống mối, cọc khoan nhồi móng cẩu tháp, hoàn thiện ướt (do Nhà thầu khác thực hiện). Quan trắc cừ, văng chống do Bên A thực hiện.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Hình thức hợp đồng</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Đơn giá cố định; thanh toán theo khối lượng thực tế nghiệm thu. Chi phí chung, chi phí cẩu tháp trọn gói.</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Giá trị hợp đồng (tạm tính)</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highlight w:val="yellow"/>
              </w:rPr>
              <w:t xml:space="preserve">216.334.704.781</w:t>
            </w:r>
            <w:r>
              <w:rPr>
                <w:rFonts w:ascii="Times New Roman" w:cs="Times New Roman" w:eastAsia="Times New Roman" w:hAnsi="Times New Roman"/>
                <w:b w:val="false"/>
                <w:bCs w:val="false"/>
                <w:sz w:val="22"/>
                <w:szCs w:val="22"/>
              </w:rPr>
              <w:t xml:space="preserve"> đồng (đã gồm VAT 8%); trước thuế </w:t>
            </w:r>
            <w:r>
              <w:rPr>
                <w:rFonts w:ascii="Times New Roman" w:cs="Times New Roman" w:eastAsia="Times New Roman" w:hAnsi="Times New Roman"/>
                <w:b w:val="false"/>
                <w:bCs w:val="false"/>
                <w:sz w:val="22"/>
                <w:szCs w:val="22"/>
                <w:highlight w:val="yellow"/>
              </w:rPr>
              <w:t xml:space="preserve">200.309.911.834</w:t>
            </w:r>
            <w:r>
              <w:rPr>
                <w:rFonts w:ascii="Times New Roman" w:cs="Times New Roman" w:eastAsia="Times New Roman" w:hAnsi="Times New Roman"/>
                <w:b w:val="false"/>
                <w:bCs w:val="false"/>
                <w:sz w:val="22"/>
                <w:szCs w:val="22"/>
              </w:rPr>
              <w:t xml:space="preserve"> đồng; VAT </w:t>
            </w:r>
            <w:r>
              <w:rPr>
                <w:rFonts w:ascii="Times New Roman" w:cs="Times New Roman" w:eastAsia="Times New Roman" w:hAnsi="Times New Roman"/>
                <w:b w:val="false"/>
                <w:bCs w:val="false"/>
                <w:sz w:val="22"/>
                <w:szCs w:val="22"/>
                <w:highlight w:val="yellow"/>
              </w:rPr>
              <w:t xml:space="preserve">16.024.792.947</w:t>
            </w:r>
            <w:r>
              <w:rPr>
                <w:rFonts w:ascii="Times New Roman" w:cs="Times New Roman" w:eastAsia="Times New Roman" w:hAnsi="Times New Roman"/>
                <w:b w:val="false"/>
                <w:bCs w:val="false"/>
                <w:sz w:val="22"/>
                <w:szCs w:val="22"/>
              </w:rPr>
              <w:t xml:space="preserve"> đồng – theo Biểu 01 ngày 15/10/2026, còn chờ chốt khoản chiết khấu </w:t>
            </w:r>
            <w:r>
              <w:rPr>
                <w:rFonts w:ascii="Times New Roman" w:cs="Times New Roman" w:eastAsia="Times New Roman" w:hAnsi="Times New Roman"/>
                <w:b w:val="false"/>
                <w:bCs w:val="false"/>
                <w:sz w:val="22"/>
                <w:szCs w:val="22"/>
                <w:highlight w:val="yellow"/>
              </w:rPr>
              <w:t xml:space="preserve">164.702</w:t>
            </w:r>
            <w:r>
              <w:rPr>
                <w:rFonts w:ascii="Times New Roman" w:cs="Times New Roman" w:eastAsia="Times New Roman" w:hAnsi="Times New Roman"/>
                <w:b w:val="false"/>
                <w:bCs w:val="false"/>
                <w:sz w:val="22"/>
                <w:szCs w:val="22"/>
              </w:rPr>
              <w:t xml:space="preserve"> đồng.</w:t>
            </w:r>
          </w:p>
        </w:tc>
      </w:tr>
    </w:tbl>
    <w:p>
      <w:pPr>
        <w:spacing w:after="100" w:before="200"/>
      </w:pPr>
      <w:r>
        <w:rPr>
          <w:rFonts w:ascii="Times New Roman" w:cs="Times New Roman" w:eastAsia="Times New Roman" w:hAnsi="Times New Roman"/>
          <w:b/>
          <w:bCs/>
          <w:sz w:val="26"/>
          <w:szCs w:val="26"/>
        </w:rPr>
        <w:t xml:space="preserve">III. QUÁ TRÌNH RÀ SOÁT, ĐÀM PHÁN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Thời điểm</w:t>
            </w:r>
          </w:p>
        </w:tc>
        <w:tc>
          <w:tcPr>
            <w:tcW w:type="dxa" w:w="77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Nội dung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14/10/2026</w:t>
            </w:r>
          </w:p>
        </w:tc>
        <w:tc>
          <w:tcPr>
            <w:tcW w:type="dxa" w:w="7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Bên A gửi dự thảo hợp đồng, Ma trận phạm vi công việc theo chủ trương mới và Biên bản thương thảo.</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15–16/10/2026</w:t>
            </w:r>
          </w:p>
        </w:tc>
        <w:tc>
          <w:tcPr>
            <w:tcW w:type="dxa" w:w="7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Phục Hưng gửi bản chỉnh sửa: khoảng 750 điểm sửa trên 165 đoạn, 09 ý kiến. Ban HĐ rà soát, gom thành 56 nhóm khác biệt: 34 rủi ro cao, 17 trung bình, 5 thấp; phát hiện 22 nhóm trùng lặp, mâu thuẫn, dẫn chiếu sai do bản PH tạo ra.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16/10/2026 (sáng)</w:t>
            </w:r>
          </w:p>
        </w:tc>
        <w:tc>
          <w:tcPr>
            <w:tcW w:type="dxa" w:w="7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highlight w:val="yellow"/>
              </w:rPr>
              <w:t xml:space="preserve">Ban/Phó ban …</w:t>
            </w:r>
            <w:r>
              <w:rPr>
                <w:rFonts w:ascii="Times New Roman" w:cs="Times New Roman" w:eastAsia="Times New Roman" w:hAnsi="Times New Roman"/>
                <w:b w:val="false"/>
                <w:bCs w:val="false"/>
                <w:sz w:val="22"/>
                <w:szCs w:val="22"/>
              </w:rPr>
              <w:t xml:space="preserve"> điều chỉnh bản EC_v1: đã xử lý 8 nhóm, xử lý một phần 13 nhóm, chấp nhận theo PH 4 nhóm; 31 nhóm (chủ yếu tiến độ, thanh toán) để đàm phán.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16/10/2026</w:t>
            </w:r>
          </w:p>
        </w:tc>
        <w:tc>
          <w:tcPr>
            <w:tcW w:type="dxa" w:w="7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Lập bản EC_v2 (đề xuất đàm phán) và EC_v3 (rà soát trùng lặp toàn hợp đồng): mỗi nội dung chỉ quy định tại một điều gốc; toàn bộ hậu quả chậm tiến độ, chậm thanh toán, thực hiện thay, chấm dứt gom về Điều 18; sửa các câu bị cắt cụt ở EC_v1.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16/10/2026 (chiều)</w:t>
            </w:r>
          </w:p>
        </w:tc>
        <w:tc>
          <w:tcPr>
            <w:tcW w:type="dxa" w:w="7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Đàm phán với Phục Hưng. Kết quả: </w:t>
            </w:r>
            <w:r>
              <w:rPr>
                <w:rFonts w:ascii="Times New Roman" w:cs="Times New Roman" w:eastAsia="Times New Roman" w:hAnsi="Times New Roman"/>
                <w:b w:val="false"/>
                <w:bCs w:val="false"/>
                <w:sz w:val="22"/>
                <w:szCs w:val="22"/>
                <w:highlight w:val="yellow"/>
              </w:rPr>
              <w:t xml:space="preserve">……</w:t>
            </w:r>
            <w:r>
              <w:rPr>
                <w:rFonts w:ascii="Times New Roman" w:cs="Times New Roman" w:eastAsia="Times New Roman" w:hAnsi="Times New Roman"/>
                <w:b w:val="false"/>
                <w:bCs w:val="false"/>
                <w:sz w:val="22"/>
                <w:szCs w:val="22"/>
              </w:rPr>
              <w:t xml:space="preserve">.</w:t>
            </w:r>
          </w:p>
        </w:tc>
      </w:tr>
    </w:tbl>
    <w:p>
      <w:pPr>
        <w:spacing w:after="100" w:before="200"/>
      </w:pPr>
      <w:r>
        <w:rPr>
          <w:rFonts w:ascii="Times New Roman" w:cs="Times New Roman" w:eastAsia="Times New Roman" w:hAnsi="Times New Roman"/>
          <w:b/>
          <w:bCs/>
          <w:sz w:val="26"/>
          <w:szCs w:val="26"/>
        </w:rPr>
        <w:t xml:space="preserve">IV. NỘI DUNG CHÍNH CỦA HỢP ĐỒNG ĐỀ XUẤT KÝ (BẢN EC_v3)</w:t>
      </w:r>
    </w:p>
    <w:p>
      <w:pPr>
        <w:spacing w:after="100" w:before="0" w:line="300"/>
        <w:ind w:firstLine="0"/>
        <w:jc w:val="both"/>
      </w:pPr>
      <w:r>
        <w:rPr>
          <w:rFonts w:ascii="Times New Roman" w:cs="Times New Roman" w:eastAsia="Times New Roman" w:hAnsi="Times New Roman"/>
          <w:i/>
          <w:iCs/>
          <w:sz w:val="26"/>
          <w:szCs w:val="26"/>
        </w:rPr>
        <w:t xml:space="preserve">Bảng dưới đây so sánh đề xuất của Bên A với yêu cầu của Phục Hưng và HĐ thầu chính để Ban Giám đốc nắm vị thế back-to-back của Công 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500"/>
        <w:gridCol w:w="2538"/>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Nội dung</w:t>
            </w:r>
          </w:p>
        </w:tc>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Đề xuất của Bên A (EC_v3)</w:t>
            </w:r>
          </w:p>
        </w:tc>
        <w:tc>
          <w:tcPr>
            <w:tcW w:type="dxa" w:w="2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Yêu cầu của Phục Hưng</w:t>
            </w:r>
          </w:p>
        </w:tc>
        <w:tc>
          <w:tcPr>
            <w:tcW w:type="dxa" w:w="25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HĐ thầu chính / Biên bản thương thảo</w:t>
            </w:r>
          </w:p>
        </w:tc>
      </w:tr>
      <w:tr>
        <w:tc>
          <w:tcPr>
            <w:tcW w:type="dxa" w:w="9638"/>
            <w:gridSpan w:val="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TIẾN ĐỘ</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Thời gian thực hiện (7.1)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268 ngày kể từ ngày ký, đã gồm lễ, Tết; mốc khởi công, hoàn thành ±0.00, bàn giao: </w:t>
            </w:r>
            <w:r>
              <w:rPr>
                <w:rFonts w:ascii="Times New Roman" w:cs="Times New Roman" w:eastAsia="Times New Roman" w:hAnsi="Times New Roman"/>
                <w:b w:val="false"/>
                <w:bCs w:val="false"/>
                <w:sz w:val="22"/>
                <w:szCs w:val="22"/>
                <w:highlight w:val="yellow"/>
              </w:rPr>
              <w:t xml:space="preserv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10,5 tháng + 20 ngày Tết, tính từ “ngày bắt đầu” (~340 ngày)</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268 ngày từ ngày ký; mốc phải khớp HĐ thầu chính</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Ngày bắt đầu (7.2)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Ngày ký HĐ; mặt bằng, hố đào bàn giao theo đợt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Ngày muộn nhất của 5 điều kiện (toàn bộ mặt bằng, nhận đủ tạm ứng…)</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từ ngày ký</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Gia hạn (7.2f)</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Chỉ 5 căn cứ hẹp; thông báo trong 07 ngày; không vượt phần CĐT gia hạn; không phát sinh chi phí</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8 căn cứ, Bên B tự gia hạn, gồm cả chậm thanh toán</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Back-to-back</w:t>
            </w:r>
          </w:p>
        </w:tc>
      </w:tr>
      <w:tr>
        <w:tc>
          <w:tcPr>
            <w:tcW w:type="dxa" w:w="9638"/>
            <w:gridSpan w:val="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GIÁ, TẠM ỨNG, THANH TOÁN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Điều chỉnh giá (9.1, 9.4)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Đơn giá cố định; chỉ điều chỉnh khi pháp luật bắt buộc hoặc CĐT chấp thuận cho Tổng thầu</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Điều chỉnh thép, bê tông khi biến động ±5%, hằng tháng</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đơn giá cố định</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Tạm ứng (10.3.1)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20% giá trị trước thuế = </w:t>
            </w:r>
            <w:r>
              <w:rPr>
                <w:rFonts w:ascii="Times New Roman" w:cs="Times New Roman" w:eastAsia="Times New Roman" w:hAnsi="Times New Roman"/>
                <w:b w:val="false"/>
                <w:bCs w:val="false"/>
                <w:sz w:val="22"/>
                <w:szCs w:val="22"/>
                <w:highlight w:val="yellow"/>
              </w:rPr>
              <w:t xml:space="preserve">40.061.982.367</w:t>
            </w:r>
            <w:r>
              <w:rPr>
                <w:rFonts w:ascii="Times New Roman" w:cs="Times New Roman" w:eastAsia="Times New Roman" w:hAnsi="Times New Roman"/>
                <w:b w:val="false"/>
                <w:bCs w:val="false"/>
                <w:sz w:val="22"/>
                <w:szCs w:val="22"/>
              </w:rPr>
              <w:t xml:space="preserve"> đ; trong 07 ngày làm việc; BL tạm ứng 100%; thu hồi hết khi đạt 80%; điều kiện tập kết thiết bị chính</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30%, bỏ điều kiện tập kết thiết bị, bỏ quyền thu hồi khi sai mục đích</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20%, thu hồi hết ở 80%</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Thanh toán đợt (10.3.2a, 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Hằng tháng, 90% khối lượng nghiệm thu; hồ sơ, thời hạn duyệt back-to-back, có xác nhận TVGS/CĐT; trả trong 14 ngày sau khi hồ sơ được xác nhận; không áp dụng “im lặng là phê duyệt”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Duyệt 15 ngày, quá hạn coi như phê duyệt; trả 07 ngày làm việc; bỏ xác nhận TVGS/CĐT</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HĐ TT: 90%; BBTT: hồ sơ back-to-back, thanh toán 14 ngày</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Chi phí chung, cẩu tháp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Chi phí chung 20% khi huy động, 80% theo tỷ lệ hoàn thành; cẩu tháp 30% / 60% / 10%</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70% chi phí chung khi huy động; 100% cẩu tháp khi lắp</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Thanh toán vật tư</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áp dụng</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80% / 65% giá trị thép, bê tông</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không tạm ứng vật tư</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Quyết toán, bảo hành (10.3.2b, c; 19.1)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97%; giữ 3% bảo hành (100% nếu nộp BL bảo hành 3%); trả trong 14 ngày sau khi CĐT thanh toán; xác nhận quyết toán trong 30 ngày</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Trả trong 14 ngày kể từ ngày nhận hồ sơ, không phụ thuộc CĐT</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HĐ TT: 97%/3%; BBTT: back-to-back</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Chậm thanh toán của Bên A (18.7)</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CĐT chậm thì lùi tương ứng; chậm quá 45 ngày do lỗi Bên A: Bên B được tạm dừng; quá 60 ngày: được chấm dứt; không trả lãi</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Lãi 150% LS tiết kiệm VCB; tạm dừng khi chậm 07 ngày; chấm dứt khi chậm 30 ngày</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tạm dừng khi chậm &gt;56 ngày; chấm dứt &gt;60 ngày; lãi theo LS huy động NH Bên B</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Bảo lãnh thanh toán của Bên A</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cấp</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15% giá trị HĐ</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không đồng ý</w:t>
            </w:r>
          </w:p>
        </w:tc>
      </w:tr>
      <w:tr>
        <w:tc>
          <w:tcPr>
            <w:tcW w:type="dxa" w:w="9638"/>
            <w:gridSpan w:val="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BẢO ĐẢM, BẢO HÀNH, PHẠT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Bảo lãnh của Bên B</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BL thực hiện HĐ 5% (nộp trong 14 ngày từ ngày ký); BL tạm ứng 100%; BL bảo hành 3%</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Giữ nguyên</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BLTHHĐ 5%</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Bảo hành (8.2)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24 tháng, riêng chống thấm </w:t>
            </w:r>
            <w:r>
              <w:rPr>
                <w:rFonts w:ascii="Times New Roman" w:cs="Times New Roman" w:eastAsia="Times New Roman" w:hAnsi="Times New Roman"/>
                <w:b w:val="false"/>
                <w:bCs w:val="false"/>
                <w:sz w:val="22"/>
                <w:szCs w:val="22"/>
                <w:highlight w:val="yellow"/>
              </w:rPr>
              <w:t xml:space="preserve">60</w:t>
            </w:r>
            <w:r>
              <w:rPr>
                <w:rFonts w:ascii="Times New Roman" w:cs="Times New Roman" w:eastAsia="Times New Roman" w:hAnsi="Times New Roman"/>
                <w:b w:val="false"/>
                <w:bCs w:val="false"/>
                <w:sz w:val="22"/>
                <w:szCs w:val="22"/>
              </w:rPr>
              <w:t xml:space="preserve"> tháng, kể từ khi CĐT nghiệm thu Công trình đưa vào sử dụng, không ngắn hơn HĐ thầu chính</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24 tháng từ khi nghiệm thu hạng mục; bỏ chống thấm 60 tháng</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24 tháng từ khi CĐT nghiệm thu đưa vào sử dụng</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Phạt chậm tiến độ (18.3)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0,1% giá trị HĐ/tuần, tối đa 8%; bồi thường cả khoản CĐT phạt Bên A</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Giữ mức phạt; bỏ nguyên tắc back-to-back</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HĐ TT: 0,05%/tuần, tối đa 8%</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Tổng mức phạt (18)</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highlight w:val="yellow"/>
              </w:rPr>
              <w:t xml:space="preserve">12</w:t>
            </w:r>
            <w:r>
              <w:rPr>
                <w:rFonts w:ascii="Times New Roman" w:cs="Times New Roman" w:eastAsia="Times New Roman" w:hAnsi="Times New Roman"/>
                <w:b w:val="false"/>
                <w:bCs w:val="false"/>
                <w:sz w:val="22"/>
                <w:szCs w:val="22"/>
              </w:rPr>
              <w:t xml:space="preserve">% giá trị HĐ; phạt không loại trừ bồi thường</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8%</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Chuẩn Công ty: 12%</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Phát sinh (13.1)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Đơn giá mới không vượt giá CĐT duyệt trừ </w:t>
            </w:r>
            <w:r>
              <w:rPr>
                <w:rFonts w:ascii="Times New Roman" w:cs="Times New Roman" w:eastAsia="Times New Roman" w:hAnsi="Times New Roman"/>
                <w:b w:val="false"/>
                <w:bCs w:val="false"/>
                <w:sz w:val="22"/>
                <w:szCs w:val="22"/>
                <w:highlight w:val="yellow"/>
              </w:rPr>
              <w:t xml:space="preserve">10</w:t>
            </w:r>
            <w:r>
              <w:rPr>
                <w:rFonts w:ascii="Times New Roman" w:cs="Times New Roman" w:eastAsia="Times New Roman" w:hAnsi="Times New Roman"/>
                <w:b w:val="false"/>
                <w:bCs w:val="false"/>
                <w:sz w:val="22"/>
                <w:szCs w:val="22"/>
              </w:rPr>
              <w:t xml:space="preserve">%; Bên A xem xét 10 ngày làm việc; không áp dụng im lặng là chấp thuận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Bỏ trần giá; im lặng 07 ngày là chấp thuận</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BBTT: giá mới do Bên B chiết tính</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bCs/>
                <w:sz w:val="22"/>
                <w:szCs w:val="22"/>
              </w:rPr>
              <w:t xml:space="preserve">Khấu trừ (3.5)</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Chi phí thực tế + phí quản lý </w:t>
            </w:r>
            <w:r>
              <w:rPr>
                <w:rFonts w:ascii="Times New Roman" w:cs="Times New Roman" w:eastAsia="Times New Roman" w:hAnsi="Times New Roman"/>
                <w:b w:val="false"/>
                <w:bCs w:val="false"/>
                <w:sz w:val="22"/>
                <w:szCs w:val="22"/>
                <w:highlight w:val="yellow"/>
              </w:rPr>
              <w:t xml:space="preserve">10</w:t>
            </w:r>
            <w:r>
              <w:rPr>
                <w:rFonts w:ascii="Times New Roman" w:cs="Times New Roman" w:eastAsia="Times New Roman" w:hAnsi="Times New Roman"/>
                <w:b w:val="false"/>
                <w:bCs w:val="false"/>
                <w:sz w:val="22"/>
                <w:szCs w:val="22"/>
              </w:rPr>
              <w:t xml:space="preserv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Xóa điều khoản</w:t>
            </w:r>
          </w:p>
        </w:tc>
        <w:tc>
          <w:tcPr>
            <w:tcW w:type="dxa" w:w="25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Dự thảo gốc: 15%</w:t>
            </w:r>
          </w:p>
        </w:tc>
      </w:tr>
    </w:tbl>
    <w:p>
      <w:pPr>
        <w:spacing w:after="100" w:before="200"/>
      </w:pPr>
      <w:r>
        <w:rPr>
          <w:rFonts w:ascii="Times New Roman" w:cs="Times New Roman" w:eastAsia="Times New Roman" w:hAnsi="Times New Roman"/>
          <w:b/>
          <w:bCs/>
          <w:sz w:val="26"/>
          <w:szCs w:val="26"/>
        </w:rPr>
        <w:t xml:space="preserve">V. ĐÁNH GIÁ RỦI RO CÒN LẠI VÀ BIỆN PHÁP KIỂM SOÁT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200"/>
        <w:gridCol w:w="4638"/>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TT</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Rủi ro</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Mức độ</w:t>
            </w:r>
          </w:p>
        </w:tc>
        <w:tc>
          <w:tcPr>
            <w:tcW w:type="dxa" w:w="46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Biện pháp kiểm soát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Phục Hưng không chấp nhận 268 ngày và ngày bắt đầu từ ngày ký → kéo dài đàm phán, ảnh hưởng tiến độ HĐ thầu chính</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Cao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Dùng khoản gia hạn hẹp 7.2f làm điểm đổi; phương án lùi tối đa +15 ngày Tết khi CĐT chấp thuận tương ứng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2</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Dòng tiền: PH yêu cầu tạm ứng cao, trả trước chi phí chung, thanh toán vật tư → Bên A ứng vốn vượt giá trị hoàn thành</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Cao</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Giới hạn cuối: tạm ứng ≤ 25%; chi phí chung trả trước ≤ 30%; vật tư chỉ khi có bảo lãnh tương ứng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3</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quy định lãi chậm thanh toán: PH có thể đòi lại</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Trung bình</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Nếu cần nhượng: lãi theo LS huy động kỳ hạn 01 tháng của NH Bên B, chậm do lỗi Bên A, loại trừ trường hợp CĐT chậm, không bù tiến độ (đúng BBTT)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4</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Giá trị HĐ còn tạm tính; khối lượng bể nước tạm tính khi chưa có bản vẽ thi công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Trung bình</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Chốt chiết khấu trước khi ký; điều chỉnh khối lượng bể nước bằng phụ lục theo đơn giá Biểu 01</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5</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Mốc tiến độ chưa điền → không đủ căn cứ phạt theo mốc</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Trung bình</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Điền mốc theo tiến độ HĐ thầu chính trước khi ký</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6</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Bên A chịu chi phí quan trắc cừ, văng chống (theo Ma trận) và rửa xe, rửa đường phục vụ đào đất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Trung bình</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Đã quy định Bên B vẫn chịu trách nhiệm sự cố do mình gây ra; rửa xe, rửa đường thanh toán riêng bằng phụ lục</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7</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Mức phạt tổng 12% cần đối chiếu Luật Xây dựng số 135/2025/QH15 và văn bản hướng dẫn</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Thấp</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Pháp chế rà soát trước khi trình ký</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Bảo hiểm TNDS bên thứ ba: PH đề nghị làm rõ</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Thấp</w:t>
            </w:r>
          </w:p>
        </w:tc>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Trả lời bằng văn bản theo HĐ thầu chính trước khi ký</w:t>
            </w:r>
          </w:p>
        </w:tc>
      </w:tr>
    </w:tbl>
    <w:p>
      <w:pPr>
        <w:spacing w:after="100" w:before="200"/>
      </w:pPr>
      <w:r>
        <w:rPr>
          <w:rFonts w:ascii="Times New Roman" w:cs="Times New Roman" w:eastAsia="Times New Roman" w:hAnsi="Times New Roman"/>
          <w:b/>
          <w:bCs/>
          <w:sz w:val="26"/>
          <w:szCs w:val="26"/>
        </w:rPr>
        <w:t xml:space="preserve">VI. CÁC VẤN ĐỀ XIN Ý KIẾN BAN GIÁM ĐỐC</w:t>
      </w:r>
    </w:p>
    <w:p>
      <w:pPr>
        <w:spacing w:after="100" w:before="0" w:line="300"/>
        <w:ind w:firstLine="0"/>
        <w:jc w:val="both"/>
      </w:pPr>
      <w:r>
        <w:rPr>
          <w:rFonts w:ascii="Times New Roman" w:cs="Times New Roman" w:eastAsia="Times New Roman" w:hAnsi="Times New Roman"/>
          <w:i/>
          <w:iCs/>
          <w:sz w:val="26"/>
          <w:szCs w:val="26"/>
        </w:rPr>
        <w:t xml:space="preserve">Đề nghị Ban Giám đốc cho ý kiến tại cột cuối (đánh dấu phương án được chọn hoặc ghi phương án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100"/>
        <w:gridCol w:w="2100"/>
        <w:gridCol w:w="1700"/>
        <w:gridCol w:w="1638"/>
      </w:tblGrid>
      <w:tr>
        <w:trPr>
          <w:tblHeader/>
        </w:trPr>
        <w:tc>
          <w:tcPr>
            <w:tcW w:type="dxa" w:w="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TT</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Nội dung</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Đề xuất</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Phương án lùi</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Giới hạn cuối</w:t>
            </w:r>
          </w:p>
        </w:tc>
        <w:tc>
          <w:tcPr>
            <w:tcW w:type="dxa" w:w="16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bCs/>
                <w:sz w:val="22"/>
                <w:szCs w:val="22"/>
              </w:rPr>
              <w:t xml:space="preserve">Ý kiến BGĐ</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Thời gian thực hiện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268 ngày từ ngày ký, gồm Tết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 tối đa 15 ngày Tết nếu CĐT chấp thuận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vượt mốc HĐ thầu chính</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Tạm ứng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 đợt 10% + 10%; hoặc 25% nếu PH bỏ yêu cầu trả trước chi phí chung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 25%</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Chi phí chung, cẩu tháp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20/80; cẩu 30/60/10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Chi phí chung 30%; cẩu 40% khi vận hành</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Trả trước ≤ 30%</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Thanh toán vật tư</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Thép tập kết ≤ 50%, có bảo lãnh, dư nợ ≤ 5% GTHĐ</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có bảo lãnh thì không</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Điều chỉnh giá</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Đơn giá cố định</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Riêng thép ±10% theo giá Liên Sở, ≤ mức CĐT chấp thuận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điều chỉnh bê tông</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Lãi chậm thanh toán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trả lãi</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Lãi huy động NH Bên B, chậm &gt; 14 ngày do lỗi Bên 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nhân 150%, không bù tiến độ</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Tạm dừng / chấm dứt do chậm thanh toán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45 / 60 ngày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Thông báo trước 14–21 ngày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dưới 45 ngày</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Tổng mức phạt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dưới 10%</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Phí quản lý khấu trừ / trần giá phát sinh</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10% / giá CĐT − 10%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5% / giá CĐT − 5%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Bảo hành chống thấm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60 tháng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36 tháng hoặc bằng cam kết với CĐT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ngắn hơn HĐ thầu chính</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center"/>
            </w:pPr>
            <w:r>
              <w:rPr>
                <w:rFonts w:ascii="Times New Roman" w:cs="Times New Roman" w:eastAsia="Times New Roman" w:hAnsi="Times New Roman"/>
                <w:b w:val="false"/>
                <w:bCs w:val="false"/>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Bảo lãnh thanh toán của Bên A</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cấp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r>
              <w:rPr>
                <w:rFonts w:ascii="Times New Roman" w:cs="Times New Roman" w:eastAsia="Times New Roman" w:hAnsi="Times New Roman"/>
                <w:b w:val="false"/>
                <w:bCs w:val="false"/>
                <w:sz w:val="22"/>
                <w:szCs w:val="22"/>
              </w:rPr>
              <w:t xml:space="preserve">Không cấp</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50"/>
              <w:ind w:firstLine="0"/>
              <w:jc w:val="left"/>
            </w:pPr>
          </w:p>
        </w:tc>
      </w:tr>
    </w:tbl>
    <w:p>
      <w:pPr>
        <w:spacing w:after="100" w:before="200"/>
      </w:pPr>
      <w:r>
        <w:rPr>
          <w:rFonts w:ascii="Times New Roman" w:cs="Times New Roman" w:eastAsia="Times New Roman" w:hAnsi="Times New Roman"/>
          <w:b/>
          <w:bCs/>
          <w:sz w:val="26"/>
          <w:szCs w:val="26"/>
        </w:rPr>
        <w:t xml:space="preserve">VII. KIẾN NGHỊ</w:t>
      </w:r>
    </w:p>
    <w:p>
      <w:pPr>
        <w:spacing w:after="100" w:before="0" w:line="300"/>
        <w:ind w:firstLine="0"/>
        <w:jc w:val="both"/>
      </w:pPr>
      <w:r>
        <w:rPr>
          <w:rFonts w:ascii="Times New Roman" w:cs="Times New Roman" w:eastAsia="Times New Roman" w:hAnsi="Times New Roman"/>
          <w:sz w:val="26"/>
          <w:szCs w:val="26"/>
        </w:rPr>
        <w:t xml:space="preserve">Trên cơ sở rà soát, </w:t>
      </w:r>
      <w:r>
        <w:rPr>
          <w:rFonts w:ascii="Times New Roman" w:cs="Times New Roman" w:eastAsia="Times New Roman" w:hAnsi="Times New Roman"/>
          <w:sz w:val="26"/>
          <w:szCs w:val="26"/>
          <w:highlight w:val="yellow"/>
        </w:rPr>
        <w:t xml:space="preserve">Ban/Phòng …</w:t>
      </w:r>
      <w:r>
        <w:rPr>
          <w:rFonts w:ascii="Times New Roman" w:cs="Times New Roman" w:eastAsia="Times New Roman" w:hAnsi="Times New Roman"/>
          <w:sz w:val="26"/>
          <w:szCs w:val="26"/>
        </w:rPr>
        <w:t xml:space="preserve"> kính đề nghị Ban Giám đốc:</w:t>
      </w:r>
    </w:p>
    <w:p>
      <w:pPr>
        <w:spacing w:after="100" w:before="0" w:line="300"/>
        <w:ind w:firstLine="0"/>
        <w:jc w:val="both"/>
      </w:pPr>
      <w:r>
        <w:rPr>
          <w:rFonts w:ascii="Times New Roman" w:cs="Times New Roman" w:eastAsia="Times New Roman" w:hAnsi="Times New Roman"/>
          <w:sz w:val="26"/>
          <w:szCs w:val="26"/>
        </w:rPr>
        <w:t xml:space="preserve">1. Chấp thuận chủ trương ký Hợp đồng thi công phần ngầm với Công ty Cổ phần Xây dựng Phục Hưng Holdings theo nội dung bản EC_v3 và kết quả đàm phán ngày 16/10/2026, với giá trị tạm tính </w:t>
      </w:r>
      <w:r>
        <w:rPr>
          <w:rFonts w:ascii="Times New Roman" w:cs="Times New Roman" w:eastAsia="Times New Roman" w:hAnsi="Times New Roman"/>
          <w:sz w:val="26"/>
          <w:szCs w:val="26"/>
          <w:highlight w:val="yellow"/>
        </w:rPr>
        <w:t xml:space="preserve">216.334.704.781</w:t>
      </w:r>
      <w:r>
        <w:rPr>
          <w:rFonts w:ascii="Times New Roman" w:cs="Times New Roman" w:eastAsia="Times New Roman" w:hAnsi="Times New Roman"/>
          <w:sz w:val="26"/>
          <w:szCs w:val="26"/>
        </w:rPr>
        <w:t xml:space="preserve"> đồng (đã gồm VAT).</w:t>
      </w:r>
    </w:p>
    <w:p>
      <w:pPr>
        <w:spacing w:after="100" w:before="0" w:line="300"/>
        <w:ind w:firstLine="0"/>
        <w:jc w:val="both"/>
      </w:pPr>
      <w:r>
        <w:rPr>
          <w:rFonts w:ascii="Times New Roman" w:cs="Times New Roman" w:eastAsia="Times New Roman" w:hAnsi="Times New Roman"/>
          <w:sz w:val="26"/>
          <w:szCs w:val="26"/>
        </w:rPr>
        <w:t xml:space="preserve">2. Cho ý kiến đối với 11 vấn đề tại Mục VI; các nội dung còn lại giữ theo bản EC_v3.</w:t>
      </w:r>
    </w:p>
    <w:p>
      <w:pPr>
        <w:spacing w:after="100" w:before="0" w:line="300"/>
        <w:ind w:firstLine="0"/>
        <w:jc w:val="both"/>
      </w:pPr>
      <w:r>
        <w:rPr>
          <w:rFonts w:ascii="Times New Roman" w:cs="Times New Roman" w:eastAsia="Times New Roman" w:hAnsi="Times New Roman"/>
          <w:sz w:val="26"/>
          <w:szCs w:val="26"/>
        </w:rPr>
        <w:t xml:space="preserve">3. Giao </w:t>
      </w:r>
      <w:r>
        <w:rPr>
          <w:rFonts w:ascii="Times New Roman" w:cs="Times New Roman" w:eastAsia="Times New Roman" w:hAnsi="Times New Roman"/>
          <w:sz w:val="26"/>
          <w:szCs w:val="26"/>
          <w:highlight w:val="yellow"/>
        </w:rPr>
        <w:t xml:space="preserve">Ban/Phòng …</w:t>
      </w:r>
      <w:r>
        <w:rPr>
          <w:rFonts w:ascii="Times New Roman" w:cs="Times New Roman" w:eastAsia="Times New Roman" w:hAnsi="Times New Roman"/>
          <w:sz w:val="26"/>
          <w:szCs w:val="26"/>
        </w:rPr>
        <w:t xml:space="preserve"> hoàn thiện bản sạch (chấp nhận các thay đổi đã thống nhất, đánh lại số, rà dẫn chiếu chéo), điền mốc tiến độ theo HĐ thầu chính, chốt Biểu 01 và khoản chiết khấu; pháp chế rà soát trước khi trình ký.</w:t>
      </w:r>
    </w:p>
    <w:p>
      <w:pPr>
        <w:spacing w:after="100" w:before="0" w:line="300"/>
        <w:ind w:firstLine="0"/>
        <w:jc w:val="both"/>
      </w:pPr>
      <w:r>
        <w:rPr>
          <w:rFonts w:ascii="Times New Roman" w:cs="Times New Roman" w:eastAsia="Times New Roman" w:hAnsi="Times New Roman"/>
          <w:sz w:val="26"/>
          <w:szCs w:val="26"/>
        </w:rPr>
        <w:t xml:space="preserve">4. Điều kiện ký và thực hiện: Phục Hưng trả lời bằng văn bản các điểm còn “làm rõ” trong Ma trận và Biểu 01; nộp bảo lãnh thực hiện hợp đồng 5% trong 14 ngày kể từ ngày ký; tạm ứng chỉ chuyển sau khi nhận đủ bảo lãnh tạm ứng 100% và biên bản tập kết thiết bị chính.</w:t>
      </w:r>
    </w:p>
    <w:p>
      <w:pPr>
        <w:spacing w:after="100" w:before="100" w:line="300"/>
        <w:ind w:firstLine="0"/>
        <w:jc w:val="both"/>
      </w:pPr>
      <w:r>
        <w:rPr>
          <w:rFonts w:ascii="Times New Roman" w:cs="Times New Roman" w:eastAsia="Times New Roman" w:hAnsi="Times New Roman"/>
          <w:sz w:val="26"/>
          <w:szCs w:val="26"/>
        </w:rPr>
        <w:t xml:space="preserve">Kính trình Ban Giám đốc xem xét, quyết định./.</w:t>
      </w:r>
    </w:p>
    <w:p>
      <w:pPr>
        <w:spacing w:after="100" w:before="200"/>
      </w:pPr>
      <w:r>
        <w:rPr>
          <w:rFonts w:ascii="Times New Roman" w:cs="Times New Roman" w:eastAsia="Times New Roman" w:hAnsi="Times New Roman"/>
          <w:b/>
          <w:bCs/>
          <w:sz w:val="26"/>
          <w:szCs w:val="26"/>
        </w:rPr>
        <w:t xml:space="preserve">HỒ SƠ KÈM THEO</w:t>
      </w:r>
    </w:p>
    <w:p>
      <w:pPr>
        <w:spacing w:after="100" w:before="0" w:line="300"/>
        <w:ind w:firstLine="0"/>
        <w:jc w:val="both"/>
      </w:pPr>
      <w:r>
        <w:rPr>
          <w:rFonts w:ascii="Times New Roman" w:cs="Times New Roman" w:eastAsia="Times New Roman" w:hAnsi="Times New Roman"/>
          <w:sz w:val="26"/>
          <w:szCs w:val="26"/>
        </w:rPr>
        <w:t xml:space="preserve">- 16.10.2026 EC_v3 HĐ NOXH YÊN SỞ – PHẦN NGẦM – Đề xuất đàm phán, đã rà trùng lặp (track changes).docx</w:t>
      </w:r>
    </w:p>
    <w:p>
      <w:pPr>
        <w:spacing w:after="100" w:before="0" w:line="300"/>
        <w:ind w:firstLine="0"/>
        <w:jc w:val="both"/>
      </w:pPr>
      <w:r>
        <w:rPr>
          <w:rFonts w:ascii="Times New Roman" w:cs="Times New Roman" w:eastAsia="Times New Roman" w:hAnsi="Times New Roman"/>
          <w:sz w:val="26"/>
          <w:szCs w:val="26"/>
        </w:rPr>
        <w:t xml:space="preserve">- 16.10.2026 Bảng đối chiếu bản sửa HĐ của Phục Hưng.xlsx (gồm sheet Phương án đàm phán, Đối chiếu từng điều, Trùng lặp – mâu thuẫn, Gom điều khoản)</w:t>
      </w:r>
    </w:p>
    <w:p>
      <w:pPr>
        <w:spacing w:after="100" w:before="0" w:line="300"/>
        <w:ind w:firstLine="0"/>
        <w:jc w:val="both"/>
      </w:pPr>
      <w:r>
        <w:rPr>
          <w:rFonts w:ascii="Times New Roman" w:cs="Times New Roman" w:eastAsia="Times New Roman" w:hAnsi="Times New Roman"/>
          <w:sz w:val="26"/>
          <w:szCs w:val="26"/>
        </w:rPr>
        <w:t xml:space="preserve">- 16.10.2026 Báo cáo rà soát bản sửa HĐ của Phục Hưng.docx</w:t>
      </w:r>
    </w:p>
    <w:p>
      <w:pPr>
        <w:spacing w:after="100" w:before="0" w:line="300"/>
        <w:ind w:firstLine="0"/>
        <w:jc w:val="both"/>
      </w:pPr>
      <w:r>
        <w:rPr>
          <w:rFonts w:ascii="Times New Roman" w:cs="Times New Roman" w:eastAsia="Times New Roman" w:hAnsi="Times New Roman"/>
          <w:sz w:val="26"/>
          <w:szCs w:val="26"/>
        </w:rPr>
        <w:t xml:space="preserve">- 15.10.2026 Biểu 01 – Chi tiết giá HĐ; Ma trận công việc 14.10.2026; Biên bản thương thảo; Biên bản đàm phán ngày 16/10/2026 </w:t>
      </w:r>
      <w:r>
        <w:rPr>
          <w:rFonts w:ascii="Times New Roman" w:cs="Times New Roman" w:eastAsia="Times New Roman" w:hAnsi="Times New Roman"/>
          <w:sz w:val="26"/>
          <w:szCs w:val="26"/>
          <w:highlight w:val="yellow"/>
        </w:rPr>
        <w:t xml:space="preserve">nếu có</w:t>
      </w:r>
      <w:r>
        <w:rPr>
          <w:rFonts w:ascii="Times New Roman" w:cs="Times New Roman" w:eastAsia="Times New Roman" w:hAnsi="Times New Roman"/>
          <w:sz w:val="26"/>
          <w:szCs w:val="26"/>
        </w:rPr>
        <w:t xml:space="preserve">.</w:t>
      </w:r>
    </w:p>
    <w:tbl>
      <w:tblPr>
        <w:tblW w:type="dxa" w:w="9638"/>
        <w:tblBorders>
          <w:top w:val="none"/>
          <w:left w:val="none"/>
          <w:bottom w:val="none"/>
          <w:right w:val="none"/>
          <w:insideH w:val="none"/>
          <w:insideV w:val="none"/>
        </w:tblBorders>
      </w:tblPr>
      <w:tblGrid>
        <w:gridCol w:w="4819"/>
        <w:gridCol w:w="4819"/>
      </w:tblGrid>
      <w:tr>
        <w:tc>
          <w:tcPr>
            <w:tcW w:type="dxa" w:w="4819"/>
            <w:tcBorders>
              <w:top w:val="none"/>
              <w:left w:val="none"/>
              <w:bottom w:val="none"/>
              <w:right w:val="none"/>
            </w:tcBorders>
          </w:tcPr>
          <w:p>
            <w:pPr>
              <w:spacing w:after="0" w:before="240" w:line="300"/>
              <w:ind w:firstLine="0"/>
              <w:jc w:val="both"/>
            </w:pPr>
            <w:r>
              <w:rPr>
                <w:rFonts w:ascii="Times New Roman" w:cs="Times New Roman" w:eastAsia="Times New Roman" w:hAnsi="Times New Roman"/>
                <w:b/>
                <w:bCs/>
                <w:i/>
                <w:iCs/>
                <w:sz w:val="22"/>
                <w:szCs w:val="22"/>
              </w:rPr>
              <w:t xml:space="preserve">Nơi nhận:</w:t>
            </w:r>
          </w:p>
          <w:p>
            <w:pPr>
              <w:spacing w:after="0" w:before="0" w:line="300"/>
              <w:ind w:firstLine="0"/>
              <w:jc w:val="both"/>
            </w:pPr>
            <w:r>
              <w:rPr>
                <w:rFonts w:ascii="Times New Roman" w:cs="Times New Roman" w:eastAsia="Times New Roman" w:hAnsi="Times New Roman"/>
                <w:sz w:val="22"/>
                <w:szCs w:val="22"/>
              </w:rPr>
              <w:t xml:space="preserve">- Ban Giám đốc (để b/c);</w:t>
            </w:r>
          </w:p>
          <w:p>
            <w:pPr>
              <w:spacing w:after="0" w:before="0" w:line="300"/>
              <w:ind w:firstLine="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yellow"/>
              </w:rPr>
              <w:t xml:space="preserve">……</w:t>
            </w:r>
            <w:r>
              <w:rPr>
                <w:rFonts w:ascii="Times New Roman" w:cs="Times New Roman" w:eastAsia="Times New Roman" w:hAnsi="Times New Roman"/>
                <w:sz w:val="22"/>
                <w:szCs w:val="22"/>
              </w:rPr>
              <w:t xml:space="preserve">;</w:t>
            </w:r>
          </w:p>
          <w:p>
            <w:pPr>
              <w:spacing w:after="0" w:before="0" w:line="300"/>
              <w:ind w:firstLine="0"/>
              <w:jc w:val="both"/>
            </w:pPr>
            <w:r>
              <w:rPr>
                <w:rFonts w:ascii="Times New Roman" w:cs="Times New Roman" w:eastAsia="Times New Roman" w:hAnsi="Times New Roman"/>
                <w:sz w:val="22"/>
                <w:szCs w:val="22"/>
              </w:rPr>
              <w:t xml:space="preserve">- Lưu: </w:t>
            </w:r>
            <w:r>
              <w:rPr>
                <w:rFonts w:ascii="Times New Roman" w:cs="Times New Roman" w:eastAsia="Times New Roman" w:hAnsi="Times New Roman"/>
                <w:sz w:val="22"/>
                <w:szCs w:val="22"/>
                <w:highlight w:val="yellow"/>
              </w:rPr>
              <w:t xml:space="preserve">……</w:t>
            </w:r>
            <w:r>
              <w:rPr>
                <w:rFonts w:ascii="Times New Roman" w:cs="Times New Roman" w:eastAsia="Times New Roman" w:hAnsi="Times New Roman"/>
                <w:sz w:val="22"/>
                <w:szCs w:val="22"/>
              </w:rPr>
              <w:t xml:space="preserve">.</w:t>
            </w:r>
          </w:p>
        </w:tc>
        <w:tc>
          <w:tcPr>
            <w:tcW w:type="dxa" w:w="4819"/>
            <w:tcBorders>
              <w:top w:val="none"/>
              <w:left w:val="none"/>
              <w:bottom w:val="none"/>
              <w:right w:val="none"/>
            </w:tcBorders>
          </w:tcPr>
          <w:p>
            <w:pPr>
              <w:spacing w:after="1000" w:before="240" w:line="300"/>
              <w:ind w:firstLine="0"/>
              <w:jc w:val="center"/>
            </w:pPr>
            <w:r>
              <w:rPr>
                <w:rFonts w:ascii="Times New Roman" w:cs="Times New Roman" w:eastAsia="Times New Roman" w:hAnsi="Times New Roman"/>
                <w:b/>
                <w:bCs/>
                <w:sz w:val="26"/>
                <w:szCs w:val="26"/>
              </w:rPr>
              <w:t xml:space="preserve">NGƯỜI LẬP</w:t>
            </w:r>
          </w:p>
          <w:p>
            <w:pPr>
              <w:spacing w:after="100" w:before="0" w:line="300"/>
              <w:ind w:firstLine="0"/>
              <w:jc w:val="center"/>
            </w:pPr>
            <w:r>
              <w:rPr>
                <w:rFonts w:ascii="Times New Roman" w:cs="Times New Roman" w:eastAsia="Times New Roman" w:hAnsi="Times New Roman"/>
                <w:b/>
                <w:bCs/>
                <w:sz w:val="26"/>
                <w:szCs w:val="26"/>
                <w:highlight w:val="yellow"/>
              </w:rPr>
              <w:t xml:space="preserve">……</w:t>
            </w:r>
          </w:p>
        </w:tc>
      </w:tr>
    </w:tbl>
    <w:sectPr>
      <w:foot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2026-10-16T04:44:10.569Z</dcterms:created>
  <dcterms:modified xsi:type="dcterms:W3CDTF">2026-10-16T04:44:10.576Z</dcterms:modified>
</cp:coreProperties>
</file>

<file path=docProps/custom.xml><?xml version="1.0" encoding="utf-8"?>
<Properties xmlns="http://schemas.openxmlformats.org/officeDocument/2006/custom-properties" xmlns:vt="http://schemas.openxmlformats.org/officeDocument/2006/docPropsVTypes"/>
</file>