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left"/>
      </w:pPr>
      <w:r>
        <w:rPr>
          <w:rFonts w:ascii="Times New Roman" w:cs="Times New Roman" w:eastAsia="Times New Roman" w:hAnsi="Times New Roman"/>
          <w:b/>
          <w:bCs/>
          <w:sz w:val="25"/>
          <w:szCs w:val="25"/>
        </w:rPr>
        <w:t xml:space="preserve">CÔNG TY CP ĐTXD VÀ KT VNCN E&amp;C – BCH YÊN SỞ</w:t>
      </w:r>
    </w:p>
    <w:p>
      <w:pPr>
        <w:spacing w:after="40" w:before="200"/>
        <w:jc w:val="center"/>
      </w:pPr>
      <w:r>
        <w:rPr>
          <w:rFonts w:ascii="Times New Roman" w:cs="Times New Roman" w:eastAsia="Times New Roman" w:hAnsi="Times New Roman"/>
          <w:b/>
          <w:bCs/>
          <w:sz w:val="30"/>
          <w:szCs w:val="30"/>
        </w:rPr>
        <w:t xml:space="preserve">BÁO CÁO</w:t>
      </w:r>
    </w:p>
    <w:p>
      <w:pPr>
        <w:spacing w:after="80" w:line="276"/>
        <w:jc w:val="center"/>
      </w:pPr>
      <w:r>
        <w:rPr>
          <w:rFonts w:ascii="Times New Roman" w:cs="Times New Roman" w:eastAsia="Times New Roman" w:hAnsi="Times New Roman"/>
          <w:b/>
          <w:bCs/>
          <w:sz w:val="25"/>
          <w:szCs w:val="25"/>
        </w:rPr>
        <w:t xml:space="preserve">Rà soát 03 dự thảo HĐKT với Hoàng Minh và đề xuất bản chốt R11</w:t>
      </w:r>
    </w:p>
    <w:p>
      <w:pPr>
        <w:spacing w:after="160"/>
        <w:jc w:val="center"/>
      </w:pPr>
      <w:r>
        <w:rPr>
          <w:rFonts w:ascii="Times New Roman" w:cs="Times New Roman" w:eastAsia="Times New Roman" w:hAnsi="Times New Roman"/>
          <w:i/>
          <w:iCs/>
          <w:sz w:val="25"/>
          <w:szCs w:val="25"/>
        </w:rPr>
        <w:t xml:space="preserve">Kính gửi: Anh Nguyễn Duy Quang – Tổng Giám đốc</w:t>
      </w:r>
    </w:p>
    <w:p>
      <w:pPr>
        <w:spacing w:after="80" w:before="160"/>
        <w:jc w:val="both"/>
      </w:pPr>
      <w:r>
        <w:rPr>
          <w:rFonts w:ascii="Times New Roman" w:cs="Times New Roman" w:eastAsia="Times New Roman" w:hAnsi="Times New Roman"/>
          <w:b/>
          <w:bCs/>
          <w:sz w:val="25"/>
          <w:szCs w:val="25"/>
        </w:rPr>
        <w:t xml:space="preserve">1. Đánh giá nhanh 03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13"/>
        <w:gridCol w:w="2713"/>
        <w:gridCol w:w="2712"/>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20"/>
            </w:pPr>
            <w:r>
              <w:rPr>
                <w:rFonts w:ascii="Times New Roman" w:cs="Times New Roman" w:eastAsia="Times New Roman" w:hAnsi="Times New Roman"/>
                <w:b/>
                <w:bCs/>
                <w:sz w:val="22"/>
                <w:szCs w:val="22"/>
              </w:rPr>
              <w:t xml:space="preserve"/>
            </w:r>
          </w:p>
        </w:tc>
        <w:tc>
          <w:tcPr>
            <w:tcW w:type="dxa" w:w="271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20"/>
            </w:pPr>
            <w:r>
              <w:rPr>
                <w:rFonts w:ascii="Times New Roman" w:cs="Times New Roman" w:eastAsia="Times New Roman" w:hAnsi="Times New Roman"/>
                <w:b/>
                <w:bCs/>
                <w:sz w:val="22"/>
                <w:szCs w:val="22"/>
              </w:rPr>
              <w:t xml:space="preserve">R8 (BCH, đã duyệt)</w:t>
            </w:r>
          </w:p>
        </w:tc>
        <w:tc>
          <w:tcPr>
            <w:tcW w:type="dxa" w:w="271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20"/>
            </w:pPr>
            <w:r>
              <w:rPr>
                <w:rFonts w:ascii="Times New Roman" w:cs="Times New Roman" w:eastAsia="Times New Roman" w:hAnsi="Times New Roman"/>
                <w:b/>
                <w:bCs/>
                <w:sz w:val="22"/>
                <w:szCs w:val="22"/>
              </w:rPr>
              <w:t xml:space="preserve">R10.1 (anh Q)</w:t>
            </w:r>
          </w:p>
        </w:tc>
        <w:tc>
          <w:tcPr>
            <w:tcW w:type="dxa" w:w="271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20"/>
            </w:pPr>
            <w:r>
              <w:rPr>
                <w:rFonts w:ascii="Times New Roman" w:cs="Times New Roman" w:eastAsia="Times New Roman" w:hAnsi="Times New Roman"/>
                <w:b/>
                <w:bCs/>
                <w:sz w:val="22"/>
                <w:szCs w:val="22"/>
              </w:rPr>
              <w:t xml:space="preserve">R6 (Hoàng Minh)</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Bảo vệ Bên A</w:t>
            </w:r>
          </w:p>
        </w:tc>
        <w:tc>
          <w:tcPr>
            <w:tcW w:type="dxa" w:w="2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Trung bình: chưa có Điểm Chuyển Giao, cam kết bồi hoàn, phối hợp Nhà Thầu Kết Cấu</w:t>
            </w:r>
          </w:p>
        </w:tc>
        <w:tc>
          <w:tcPr>
            <w:tcW w:type="dxa" w:w="2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Cao nhất: chuyển toàn bộ rủi ro Chất Thải sang HM, bồi hoàn không giới hạn</w:t>
            </w:r>
          </w:p>
        </w:tc>
        <w:tc>
          <w:tcPr>
            <w:tcW w:type="dxa" w:w="27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Thấp: nới thanh toán, phạt, tạm dừng/chấm dứt theo hướng có lợi cho HM</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Khả thi với HM, bãi đổ</w:t>
            </w:r>
          </w:p>
        </w:tc>
        <w:tc>
          <w:tcPr>
            <w:tcW w:type="dxa" w:w="2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Cao</w:t>
            </w:r>
          </w:p>
        </w:tc>
        <w:tc>
          <w:tcPr>
            <w:tcW w:type="dxa" w:w="2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Thấp: bentonite, GPS/camera, phân định QCVN, đường tạm</w:t>
            </w:r>
          </w:p>
        </w:tc>
        <w:tc>
          <w:tcPr>
            <w:tcW w:type="dxa" w:w="27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Cao</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Độ dài, trùng lặp</w:t>
            </w:r>
          </w:p>
        </w:tc>
        <w:tc>
          <w:tcPr>
            <w:tcW w:type="dxa" w:w="2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Gọn</w:t>
            </w:r>
          </w:p>
        </w:tc>
        <w:tc>
          <w:tcPr>
            <w:tcW w:type="dxa" w:w="27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Dài; nhiều nội dung nhắc lại 2–3 lần</w:t>
            </w:r>
          </w:p>
        </w:tc>
        <w:tc>
          <w:tcPr>
            <w:tcW w:type="dxa" w:w="271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Gọn</w:t>
            </w:r>
          </w:p>
        </w:tc>
      </w:tr>
    </w:tbl>
    <w:p>
      <w:pPr>
        <w:spacing w:after="80" w:line="276"/>
        <w:jc w:val="both"/>
      </w:pPr>
      <w:r>
        <w:rPr>
          <w:rFonts w:ascii="Times New Roman" w:cs="Times New Roman" w:eastAsia="Times New Roman" w:hAnsi="Times New Roman"/>
          <w:sz w:val="25"/>
          <w:szCs w:val="25"/>
        </w:rPr>
        <w:t xml:space="preserve"/>
      </w:r>
    </w:p>
    <w:p>
      <w:pPr>
        <w:spacing w:after="80" w:line="276"/>
        <w:jc w:val="both"/>
      </w:pPr>
      <w:r>
        <w:rPr>
          <w:rFonts w:ascii="Times New Roman" w:cs="Times New Roman" w:eastAsia="Times New Roman" w:hAnsi="Times New Roman"/>
          <w:sz w:val="25"/>
          <w:szCs w:val="25"/>
        </w:rPr>
        <w:t xml:space="preserve">Đề xuất: lấy R10.1 của anh làm gốc (giữ toàn bộ cơ chế chuyển rủi ro), xử lý 03 điểm theo chủ trương, rút gọn phần trùng lặp và chỉ nhận những đề nghị của HM không làm giảm quyền lợi Bên A. Kết quả là dự thảo R11 (track changes) gửi kèm.</w:t>
      </w:r>
    </w:p>
    <w:p>
      <w:pPr>
        <w:spacing w:after="80" w:before="160"/>
        <w:jc w:val="both"/>
      </w:pPr>
      <w:r>
        <w:rPr>
          <w:rFonts w:ascii="Times New Roman" w:cs="Times New Roman" w:eastAsia="Times New Roman" w:hAnsi="Times New Roman"/>
          <w:b/>
          <w:bCs/>
          <w:sz w:val="25"/>
          <w:szCs w:val="25"/>
        </w:rPr>
        <w:t xml:space="preserve">2. Xử lý 03 điểm theo chủ trương</w:t>
      </w:r>
    </w:p>
    <w:p>
      <w:pPr>
        <w:pStyle w:val="ListParagraph"/>
        <w:numPr>
          <w:ilvl w:val="0"/>
          <w:numId w:val="2"/>
        </w:numPr>
        <w:spacing w:after="40" w:line="276"/>
        <w:jc w:val="both"/>
      </w:pPr>
      <w:r>
        <w:rPr>
          <w:rFonts w:ascii="Times New Roman" w:cs="Times New Roman" w:eastAsia="Times New Roman" w:hAnsi="Times New Roman"/>
          <w:b/>
          <w:bCs/>
          <w:sz w:val="25"/>
          <w:szCs w:val="25"/>
        </w:rPr>
        <w:t xml:space="preserve">Không thể hiện bentonite: </w:t>
      </w:r>
      <w:r>
        <w:rPr>
          <w:rFonts w:ascii="Times New Roman" w:cs="Times New Roman" w:eastAsia="Times New Roman" w:hAnsi="Times New Roman"/>
          <w:sz w:val="25"/>
          <w:szCs w:val="25"/>
        </w:rPr>
        <w:t xml:space="preserve">bỏ khỏi định nghĩa Chất Thải, Điều 4, 10.2(v), 15.2, Phụ lục B; bỏ căn cứ QCVN 07 và yêu cầu tự phân định. Mùn khoan đã tách nước được quản lý như chất thải rắn xây dựng (đúng chủng loại bãi Nguyên Khê tiếp nhận). Bên A vẫn được bảo vệ vì giữ nguyên Điểm Chuyển Giao, nghĩa vụ bồi hoàn 8.3(h), lệnh cấm xả mùn khoan và nước thải; nếu cơ quan có thẩm quyền xác định là chất thải nguy hại thì HM chịu trách nhiệm (8.3(f)).</w:t>
      </w:r>
    </w:p>
    <w:p>
      <w:pPr>
        <w:pStyle w:val="ListParagraph"/>
        <w:numPr>
          <w:ilvl w:val="0"/>
          <w:numId w:val="2"/>
        </w:numPr>
        <w:spacing w:after="40" w:line="276"/>
        <w:jc w:val="both"/>
      </w:pPr>
      <w:r>
        <w:rPr>
          <w:rFonts w:ascii="Times New Roman" w:cs="Times New Roman" w:eastAsia="Times New Roman" w:hAnsi="Times New Roman"/>
          <w:b/>
          <w:bCs/>
          <w:sz w:val="25"/>
          <w:szCs w:val="25"/>
        </w:rPr>
        <w:t xml:space="preserve">Bỏ GPS: </w:t>
      </w:r>
      <w:r>
        <w:rPr>
          <w:rFonts w:ascii="Times New Roman" w:cs="Times New Roman" w:eastAsia="Times New Roman" w:hAnsi="Times New Roman"/>
          <w:sz w:val="25"/>
          <w:szCs w:val="25"/>
        </w:rPr>
        <w:t xml:space="preserve">bỏ yêu cầu GPS, camera, tài khoản dữ liệu hành trình (8.3(c), 8.4(a), 7.2, 15.2, Phụ lục B). Thay bằng phiếu xuất cổng có chữ ký nhân sự kiểm soát cổng của Bên A, đối chiếu với biên bản và hóa đơn tháng của bãi. Chỉ giữ câu “lắp thiết bị giám sát hành trình theo quy định của pháp luật” vì đây là nghĩa vụ luật định của chủ xe; có thể bỏ nếu anh thấy cần.</w:t>
      </w:r>
    </w:p>
    <w:p>
      <w:pPr>
        <w:pStyle w:val="ListParagraph"/>
        <w:numPr>
          <w:ilvl w:val="0"/>
          <w:numId w:val="2"/>
        </w:numPr>
        <w:spacing w:after="40" w:line="276"/>
        <w:jc w:val="both"/>
      </w:pPr>
      <w:r>
        <w:rPr>
          <w:rFonts w:ascii="Times New Roman" w:cs="Times New Roman" w:eastAsia="Times New Roman" w:hAnsi="Times New Roman"/>
          <w:b/>
          <w:bCs/>
          <w:sz w:val="25"/>
          <w:szCs w:val="25"/>
        </w:rPr>
        <w:t xml:space="preserve">Không làm đường tạm: </w:t>
      </w:r>
      <w:r>
        <w:rPr>
          <w:rFonts w:ascii="Times New Roman" w:cs="Times New Roman" w:eastAsia="Times New Roman" w:hAnsi="Times New Roman"/>
          <w:sz w:val="25"/>
          <w:szCs w:val="25"/>
        </w:rPr>
        <w:t xml:space="preserve">Bên A không có nghĩa vụ làm đường tạm cho HM; HM tự chọn biện pháp tiếp cận nhưng phải bảo đảm an toàn, tiến độ, không làm hư hỏng cọc, cừ, kết cấu; quá 24 giờ không khắc phục thì Bên A thuê đơn vị khác và khấu trừ (8.5(e)). Đơn giá không đổi.</w:t>
      </w:r>
    </w:p>
    <w:p>
      <w:pPr>
        <w:spacing w:after="80" w:before="160"/>
        <w:jc w:val="both"/>
      </w:pPr>
      <w:r>
        <w:rPr>
          <w:rFonts w:ascii="Times New Roman" w:cs="Times New Roman" w:eastAsia="Times New Roman" w:hAnsi="Times New Roman"/>
          <w:b/>
          <w:bCs/>
          <w:sz w:val="25"/>
          <w:szCs w:val="25"/>
        </w:rPr>
        <w:t xml:space="preserve">3. Điều khoản bỏ hoặc rút gọn vì trùng lặp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20"/>
            </w:pPr>
            <w:r>
              <w:rPr>
                <w:rFonts w:ascii="Times New Roman" w:cs="Times New Roman" w:eastAsia="Times New Roman" w:hAnsi="Times New Roman"/>
                <w:b/>
                <w:bCs/>
                <w:sz w:val="22"/>
                <w:szCs w:val="22"/>
              </w:rPr>
              <w:t xml:space="preserve">Điều khoản</w:t>
            </w:r>
          </w:p>
        </w:tc>
        <w:tc>
          <w:tcPr>
            <w:tcW w:type="dxa" w:w="66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after="20"/>
            </w:pPr>
            <w:r>
              <w:rPr>
                <w:rFonts w:ascii="Times New Roman" w:cs="Times New Roman" w:eastAsia="Times New Roman" w:hAnsi="Times New Roman"/>
                <w:b/>
                <w:bCs/>
                <w:sz w:val="22"/>
                <w:szCs w:val="22"/>
              </w:rPr>
              <w:t xml:space="preserve">Xử lý</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Căn cứ Luật Đấu thầu, QCVN 07</w:t>
            </w:r>
          </w:p>
        </w:tc>
        <w:tc>
          <w:tcPr>
            <w:tcW w:type="dxa" w:w="66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Bỏ: không áp dụng cho HĐKT giữa hai doanh nghiệp; QCVN gắn với phân định đã bỏ</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Đ1 khoản 6 (Công Việc)</w:t>
            </w:r>
          </w:p>
        </w:tc>
        <w:tc>
          <w:tcPr>
            <w:tcW w:type="dxa" w:w="66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Bỏ phần liệt kê lại, dẫn chiếu Điều 4</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4.2(a) thứ hai</w:t>
            </w:r>
          </w:p>
        </w:tc>
        <w:tc>
          <w:tcPr>
            <w:tcW w:type="dxa" w:w="66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Bỏ: trùng 4.1 và định nghĩa Điểm Chuyển Giao</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8.2(e), 8.2(y)</w:t>
            </w:r>
          </w:p>
        </w:tc>
        <w:tc>
          <w:tcPr>
            <w:tcW w:type="dxa" w:w="66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Bỏ: trùng 4.3(d) và 8.2(x)</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8.3(a)(vi)</w:t>
            </w:r>
          </w:p>
        </w:tc>
        <w:tc>
          <w:tcPr>
            <w:tcW w:type="dxa" w:w="66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Bỏ phân định QCVN; nguyên tắc chất thải nguy hại chuyển vào 8.3(f)</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8.3(e) câu cuối</w:t>
            </w:r>
          </w:p>
        </w:tc>
        <w:tc>
          <w:tcPr>
            <w:tcW w:type="dxa" w:w="66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Bỏ: trùng nghĩa vụ hoàn trả tại 8.3(h)</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10.1(c)</w:t>
            </w:r>
          </w:p>
        </w:tc>
        <w:tc>
          <w:tcPr>
            <w:tcW w:type="dxa" w:w="66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Bỏ: trùng 10.2(b)(v)</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7.2, 7.3(b) – hồ sơ bãi</w:t>
            </w:r>
          </w:p>
        </w:tc>
        <w:tc>
          <w:tcPr>
            <w:tcW w:type="dxa" w:w="66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Không liệt kê lại; dẫn chiếu Chứng Từ Đổ Thải Hợp Lệ tại 8.3(c)</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8.5(e), Phụ lục A, B</w:t>
            </w:r>
          </w:p>
        </w:tc>
        <w:tc>
          <w:tcPr>
            <w:tcW w:type="dxa" w:w="66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20"/>
            </w:pPr>
            <w:r>
              <w:rPr>
                <w:rFonts w:ascii="Times New Roman" w:cs="Times New Roman" w:eastAsia="Times New Roman" w:hAnsi="Times New Roman"/>
                <w:b w:val="false"/>
                <w:bCs w:val="false"/>
                <w:sz w:val="22"/>
                <w:szCs w:val="22"/>
              </w:rPr>
              <w:t xml:space="preserve">Rút gọn theo hướng không làm đường tạm (mục 2)</w:t>
            </w:r>
          </w:p>
        </w:tc>
      </w:tr>
    </w:tbl>
    <w:p>
      <w:pPr>
        <w:spacing w:after="80" w:before="160"/>
        <w:jc w:val="both"/>
      </w:pPr>
      <w:r>
        <w:rPr>
          <w:rFonts w:ascii="Times New Roman" w:cs="Times New Roman" w:eastAsia="Times New Roman" w:hAnsi="Times New Roman"/>
          <w:b/>
          <w:bCs/>
          <w:sz w:val="25"/>
          <w:szCs w:val="25"/>
        </w:rPr>
        <w:t xml:space="preserve">4. Đề nghị của Hoàng Minh (bản R6)</w:t>
      </w:r>
    </w:p>
    <w:p>
      <w:pPr>
        <w:spacing w:after="80" w:line="276"/>
        <w:jc w:val="both"/>
      </w:pPr>
      <w:r>
        <w:rPr>
          <w:rFonts w:ascii="Times New Roman" w:cs="Times New Roman" w:eastAsia="Times New Roman" w:hAnsi="Times New Roman"/>
          <w:b/>
          <w:bCs/>
          <w:sz w:val="25"/>
          <w:szCs w:val="25"/>
        </w:rPr>
        <w:t xml:space="preserve">Đề xuất chấp nhận </w:t>
      </w:r>
      <w:r>
        <w:rPr>
          <w:rFonts w:ascii="Times New Roman" w:cs="Times New Roman" w:eastAsia="Times New Roman" w:hAnsi="Times New Roman"/>
          <w:sz w:val="25"/>
          <w:szCs w:val="25"/>
        </w:rPr>
        <w:t xml:space="preserve">(có lợi hoặc không thiệt cho Bên A):</w:t>
      </w:r>
    </w:p>
    <w:p>
      <w:pPr>
        <w:pStyle w:val="ListParagraph"/>
        <w:numPr>
          <w:ilvl w:val="0"/>
          <w:numId w:val="2"/>
        </w:numPr>
        <w:spacing w:after="40" w:line="276"/>
        <w:jc w:val="both"/>
      </w:pPr>
      <w:r>
        <w:rPr>
          <w:rFonts w:ascii="Times New Roman" w:cs="Times New Roman" w:eastAsia="Times New Roman" w:hAnsi="Times New Roman"/>
          <w:sz w:val="25"/>
          <w:szCs w:val="25"/>
        </w:rPr>
        <w:t xml:space="preserve">Thu hồi tạm ứng 20% mỗi lần thanh toán (đúng Tờ trình 09102026-01; thu hồi nhanh hơn công thức tỷ lệ), vẫn giữ mốc thu hồi hết khi thanh toán lũy kế đạt 80%.</w:t>
      </w:r>
    </w:p>
    <w:p>
      <w:pPr>
        <w:pStyle w:val="ListParagraph"/>
        <w:numPr>
          <w:ilvl w:val="0"/>
          <w:numId w:val="2"/>
        </w:numPr>
        <w:spacing w:after="40" w:line="276"/>
        <w:jc w:val="both"/>
      </w:pPr>
      <w:r>
        <w:rPr>
          <w:rFonts w:ascii="Times New Roman" w:cs="Times New Roman" w:eastAsia="Times New Roman" w:hAnsi="Times New Roman"/>
          <w:sz w:val="25"/>
          <w:szCs w:val="25"/>
        </w:rPr>
        <w:t xml:space="preserve">Hoàn trả tạm ứng chưa thu hồi trong 05 ngày (thay 10 ngày); điều khoản chuyển tiếp Hợp đồng nguyên tắc (14.6).</w:t>
      </w:r>
    </w:p>
    <w:p>
      <w:pPr>
        <w:pStyle w:val="ListParagraph"/>
        <w:numPr>
          <w:ilvl w:val="0"/>
          <w:numId w:val="2"/>
        </w:numPr>
        <w:spacing w:after="40" w:line="276"/>
        <w:jc w:val="both"/>
      </w:pPr>
      <w:r>
        <w:rPr>
          <w:rFonts w:ascii="Times New Roman" w:cs="Times New Roman" w:eastAsia="Times New Roman" w:hAnsi="Times New Roman"/>
          <w:sz w:val="25"/>
          <w:szCs w:val="25"/>
        </w:rPr>
        <w:t xml:space="preserve">Nộp chứng từ đổ thải hằng tháng kèm hồ sơ thanh toán (thay hằng tuần); chứng từ bãi theo mẫu bãi phát hành; dùng biên bản công nợ khi chưa đến hạn trả tiền bãi.</w:t>
      </w:r>
    </w:p>
    <w:p>
      <w:pPr>
        <w:pStyle w:val="ListParagraph"/>
        <w:numPr>
          <w:ilvl w:val="0"/>
          <w:numId w:val="2"/>
        </w:numPr>
        <w:spacing w:after="40" w:line="276"/>
        <w:jc w:val="both"/>
      </w:pPr>
      <w:r>
        <w:rPr>
          <w:rFonts w:ascii="Times New Roman" w:cs="Times New Roman" w:eastAsia="Times New Roman" w:hAnsi="Times New Roman"/>
          <w:sz w:val="25"/>
          <w:szCs w:val="25"/>
        </w:rPr>
        <w:t xml:space="preserve">Khấu trừ chi phí rửa xe, bơm nước tối đa 06 tháng (bằng thời hạn HĐ), trừ trường hợp kéo dài do lỗi HM.</w:t>
      </w:r>
    </w:p>
    <w:p>
      <w:pPr>
        <w:pStyle w:val="ListParagraph"/>
        <w:numPr>
          <w:ilvl w:val="0"/>
          <w:numId w:val="2"/>
        </w:numPr>
        <w:spacing w:after="40" w:line="276"/>
        <w:jc w:val="both"/>
      </w:pPr>
      <w:r>
        <w:rPr>
          <w:rFonts w:ascii="Times New Roman" w:cs="Times New Roman" w:eastAsia="Times New Roman" w:hAnsi="Times New Roman"/>
          <w:sz w:val="25"/>
          <w:szCs w:val="25"/>
        </w:rPr>
        <w:t xml:space="preserve">Bổ sung 8.4(e) do HM tự đề xuất: phun nước giảm bụi, chịu trách nhiệm cả khi Bên A/CĐT bị xử phạt liên đới hoặc bị đình chỉ.</w:t>
      </w:r>
    </w:p>
    <w:p>
      <w:pPr>
        <w:spacing w:after="80" w:line="276"/>
        <w:jc w:val="both"/>
      </w:pPr>
      <w:r>
        <w:rPr>
          <w:rFonts w:ascii="Times New Roman" w:cs="Times New Roman" w:eastAsia="Times New Roman" w:hAnsi="Times New Roman"/>
          <w:b/>
          <w:bCs/>
          <w:sz w:val="25"/>
          <w:szCs w:val="25"/>
        </w:rPr>
        <w:t xml:space="preserve">Đề xuất giữ theo R10.1 </w:t>
      </w:r>
      <w:r>
        <w:rPr>
          <w:rFonts w:ascii="Times New Roman" w:cs="Times New Roman" w:eastAsia="Times New Roman" w:hAnsi="Times New Roman"/>
          <w:sz w:val="25"/>
          <w:szCs w:val="25"/>
        </w:rPr>
        <w:t xml:space="preserve">(không nhận):</w:t>
      </w:r>
    </w:p>
    <w:p>
      <w:pPr>
        <w:pStyle w:val="ListParagraph"/>
        <w:numPr>
          <w:ilvl w:val="0"/>
          <w:numId w:val="2"/>
        </w:numPr>
        <w:spacing w:after="40" w:line="276"/>
        <w:jc w:val="both"/>
      </w:pPr>
      <w:r>
        <w:rPr>
          <w:rFonts w:ascii="Times New Roman" w:cs="Times New Roman" w:eastAsia="Times New Roman" w:hAnsi="Times New Roman"/>
          <w:sz w:val="25"/>
          <w:szCs w:val="25"/>
        </w:rPr>
        <w:t xml:space="preserve">Thanh toán 95%, rút thời hạn thanh toán 10 ngày, phản hồi hồ sơ 03 ngày, trả giữ lại sau 30 ngày: giữ 90%, 15 ngày làm việc, 60 ngày theo Tờ trình 09102026-01.</w:t>
      </w:r>
    </w:p>
    <w:p>
      <w:pPr>
        <w:pStyle w:val="ListParagraph"/>
        <w:numPr>
          <w:ilvl w:val="0"/>
          <w:numId w:val="2"/>
        </w:numPr>
        <w:spacing w:after="40" w:line="276"/>
        <w:jc w:val="both"/>
      </w:pPr>
      <w:r>
        <w:rPr>
          <w:rFonts w:ascii="Times New Roman" w:cs="Times New Roman" w:eastAsia="Times New Roman" w:hAnsi="Times New Roman"/>
          <w:sz w:val="25"/>
          <w:szCs w:val="25"/>
        </w:rPr>
        <w:t xml:space="preserve">HM được tạm dừng khi Bên A chậm 15 ngày làm việc, chấm dứt sau 20 ngày: giữ 30 ngày.</w:t>
      </w:r>
    </w:p>
    <w:p>
      <w:pPr>
        <w:pStyle w:val="ListParagraph"/>
        <w:numPr>
          <w:ilvl w:val="0"/>
          <w:numId w:val="2"/>
        </w:numPr>
        <w:spacing w:after="40" w:line="276"/>
        <w:jc w:val="both"/>
      </w:pPr>
      <w:r>
        <w:rPr>
          <w:rFonts w:ascii="Times New Roman" w:cs="Times New Roman" w:eastAsia="Times New Roman" w:hAnsi="Times New Roman"/>
          <w:sz w:val="25"/>
          <w:szCs w:val="25"/>
        </w:rPr>
        <w:t xml:space="preserve">Bỏ phạt chậm tiến độ 0,5%/ngày và bỏ thỏa thuận áp dụng đồng thời phạt và bồi thường: giữ.</w:t>
      </w:r>
    </w:p>
    <w:p>
      <w:pPr>
        <w:pStyle w:val="ListParagraph"/>
        <w:numPr>
          <w:ilvl w:val="0"/>
          <w:numId w:val="2"/>
        </w:numPr>
        <w:spacing w:after="40" w:line="276"/>
        <w:jc w:val="both"/>
      </w:pPr>
      <w:r>
        <w:rPr>
          <w:rFonts w:ascii="Times New Roman" w:cs="Times New Roman" w:eastAsia="Times New Roman" w:hAnsi="Times New Roman"/>
          <w:sz w:val="25"/>
          <w:szCs w:val="25"/>
        </w:rPr>
        <w:t xml:space="preserve">Cho “đơn vị vận chuyển của Bên B” đứng tên hợp đồng với bãi; nhật ký/phiếu bãi “không là căn cứ khối lượng”; bỏ điều kiện thanh lý, Bên A trả điện nước: không nhận.</w:t>
      </w:r>
    </w:p>
    <w:p>
      <w:pPr>
        <w:spacing w:after="80" w:before="160"/>
        <w:jc w:val="both"/>
      </w:pPr>
      <w:r>
        <w:rPr>
          <w:rFonts w:ascii="Times New Roman" w:cs="Times New Roman" w:eastAsia="Times New Roman" w:hAnsi="Times New Roman"/>
          <w:b/>
          <w:bCs/>
          <w:sz w:val="25"/>
          <w:szCs w:val="25"/>
        </w:rPr>
        <w:t xml:space="preserve">5. Đề nghị anh cho ý kiến</w:t>
      </w:r>
    </w:p>
    <w:p>
      <w:pPr>
        <w:pStyle w:val="ListParagraph"/>
        <w:numPr>
          <w:ilvl w:val="0"/>
          <w:numId w:val="2"/>
        </w:numPr>
        <w:spacing w:after="40" w:line="276"/>
        <w:jc w:val="both"/>
      </w:pPr>
      <w:r>
        <w:rPr>
          <w:rFonts w:ascii="Times New Roman" w:cs="Times New Roman" w:eastAsia="Times New Roman" w:hAnsi="Times New Roman"/>
          <w:sz w:val="25"/>
          <w:szCs w:val="25"/>
        </w:rPr>
        <w:t xml:space="preserve">Phê duyệt R11 làm bản đàm phán chốt với Hoàng Minh.</w:t>
      </w:r>
    </w:p>
    <w:p>
      <w:pPr>
        <w:pStyle w:val="ListParagraph"/>
        <w:numPr>
          <w:ilvl w:val="0"/>
          <w:numId w:val="2"/>
        </w:numPr>
        <w:spacing w:after="40" w:line="276"/>
        <w:jc w:val="both"/>
      </w:pPr>
      <w:r>
        <w:rPr>
          <w:rFonts w:ascii="Times New Roman" w:cs="Times New Roman" w:eastAsia="Times New Roman" w:hAnsi="Times New Roman"/>
          <w:sz w:val="25"/>
          <w:szCs w:val="25"/>
        </w:rPr>
        <w:t xml:space="preserve">Giá trị HĐ: bản HM ghi 22.943.887.060 đ, bản R10.1 là 19.970.293.060 đ (chênh 2,97 tỷ). BCH sẽ đối chiếu Phụ lục A với HM trước khi ký.</w:t>
      </w:r>
    </w:p>
    <w:p>
      <w:pPr>
        <w:pStyle w:val="ListParagraph"/>
        <w:numPr>
          <w:ilvl w:val="0"/>
          <w:numId w:val="2"/>
        </w:numPr>
        <w:spacing w:after="40" w:line="276"/>
        <w:jc w:val="both"/>
      </w:pPr>
      <w:r>
        <w:rPr>
          <w:rFonts w:ascii="Times New Roman" w:cs="Times New Roman" w:eastAsia="Times New Roman" w:hAnsi="Times New Roman"/>
          <w:sz w:val="25"/>
          <w:szCs w:val="25"/>
        </w:rPr>
        <w:t xml:space="preserve">Các số trong ngoặc vuông cần chốt: hệ số quy đổi (Phụ lục A ghi chú 6), hạn mức bảo hiểm bên thứ ba (8.7(d)).</w:t>
      </w:r>
    </w:p>
    <w:p>
      <w:pPr>
        <w:spacing w:after="80" w:line="276"/>
        <w:jc w:val="both"/>
      </w:pPr>
      <w:r>
        <w:rPr>
          <w:rFonts w:ascii="Times New Roman" w:cs="Times New Roman" w:eastAsia="Times New Roman" w:hAnsi="Times New Roman"/>
          <w:sz w:val="25"/>
          <w:szCs w:val="25"/>
        </w:rPr>
        <w:t xml:space="preserve"/>
      </w:r>
    </w:p>
    <w:p>
      <w:pPr>
        <w:spacing w:after="80" w:line="276"/>
        <w:jc w:val="right"/>
      </w:pPr>
      <w:r>
        <w:rPr>
          <w:rFonts w:ascii="Times New Roman" w:cs="Times New Roman" w:eastAsia="Times New Roman" w:hAnsi="Times New Roman"/>
          <w:b/>
          <w:bCs/>
          <w:sz w:val="25"/>
          <w:szCs w:val="25"/>
        </w:rPr>
        <w:t xml:space="preserve">BCH Yên Sở</w:t>
      </w:r>
    </w:p>
    <w:sectPr>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2026-10-10T10:49:53.527Z</dcterms:created>
  <dcterms:modified xsi:type="dcterms:W3CDTF">2026-10-10T10:49:53.527Z</dcterms:modified>
</cp:coreProperties>
</file>

<file path=docProps/custom.xml><?xml version="1.0" encoding="utf-8"?>
<Properties xmlns="http://schemas.openxmlformats.org/officeDocument/2006/custom-properties" xmlns:vt="http://schemas.openxmlformats.org/officeDocument/2006/docPropsVTypes"/>
</file>