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56"/>
          <w:szCs w:val="56"/>
        </w:rPr>
        <w:t xml:space="preserve">BUTTER OPTIONS</w:t>
      </w:r>
    </w:p>
    <w:p>
      <w:pPr>
        <w:spacing w:after="100"/>
        <w:jc w:val="center"/>
      </w:pPr>
      <w:r>
        <w:rPr>
          <w:rFonts w:ascii="Arial" w:cs="Arial" w:eastAsia="Arial" w:hAnsi="Arial"/>
          <w:color w:val="C9A84C"/>
          <w:sz w:val="28"/>
          <w:szCs w:val="28"/>
        </w:rPr>
        <w:t xml:space="preserve">Protocol Documentation</w:t>
      </w:r>
    </w:p>
    <w:p>
      <w:pPr>
        <w:spacing w:after="600"/>
        <w:jc w:val="center"/>
      </w:pPr>
      <w:r>
        <w:rPr>
          <w:rFonts w:ascii="Arial" w:cs="Arial" w:eastAsia="Arial" w:hAnsi="Arial"/>
          <w:color w:val="6B7280"/>
          <w:sz w:val="22"/>
          <w:szCs w:val="22"/>
        </w:rPr>
        <w:t xml:space="preserve">Permissionless Options Infrastructure for Every Asset Class on Solana</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C9A84C" w:sz="4"/>
              <w:left w:val="none" w:color="FFFFFF" w:sz="0"/>
              <w:bottom w:val="none" w:color="FFFFFF" w:sz="0"/>
              <w:right w:val="none" w:color="FFFFFF" w:sz="0"/>
            </w:tcBorders>
            <w:tcMar>
              <w:top w:type="dxa" w:w="200"/>
              <w:left w:type="dxa" w:w="0"/>
              <w:bottom w:type="dxa" w:w="0"/>
              <w:right w:type="dxa" w:w="0"/>
            </w:tcMar>
          </w:tcPr>
          <w:p/>
        </w:tc>
      </w:tr>
    </w:tbl>
    <w:p>
      <w:pPr>
        <w:spacing w:before="400"/>
        <w:jc w:val="center"/>
      </w:pPr>
      <w:r>
        <w:rPr>
          <w:rFonts w:ascii="Arial" w:cs="Arial" w:eastAsia="Arial" w:hAnsi="Arial"/>
          <w:color w:val="6B7280"/>
          <w:sz w:val="20"/>
          <w:szCs w:val="20"/>
        </w:rPr>
        <w:t xml:space="preserve">Version 1.0  —  April 2026</w:t>
      </w:r>
    </w:p>
    <w:p>
      <w:pPr>
        <w:spacing w:after="80"/>
        <w:jc w:val="center"/>
      </w:pPr>
      <w:r>
        <w:rPr>
          <w:rFonts w:ascii="Arial" w:cs="Arial" w:eastAsia="Arial" w:hAnsi="Arial"/>
          <w:color w:val="6B7280"/>
          <w:sz w:val="20"/>
          <w:szCs w:val="20"/>
        </w:rPr>
        <w:t xml:space="preserve">Colosseum Frontier Hackathon Submission</w:t>
      </w:r>
    </w:p>
    <w:p>
      <w:pPr>
        <w:jc w:val="center"/>
      </w:pPr>
      <w:r>
        <w:rPr>
          <w:rFonts w:ascii="Arial" w:cs="Arial" w:eastAsia="Arial" w:hAnsi="Arial"/>
          <w:color w:val="6B7280"/>
          <w:sz w:val="20"/>
          <w:szCs w:val="20"/>
        </w:rPr>
        <w:t xml:space="preserve">Program ID: CtzJ4MJYX6BFvF4g67i5C24tQuwRn6ddKkaE5L84z9Cq</w:t>
      </w:r>
    </w:p>
    <w:p>
      <w:pPr>
        <w:spacing w:before="200"/>
        <w:jc w:val="center"/>
      </w:pPr>
      <w:r>
        <w:rPr>
          <w:rFonts w:ascii="Arial" w:cs="Arial" w:eastAsia="Arial" w:hAnsi="Arial"/>
          <w:color w:val="6B7280"/>
          <w:sz w:val="20"/>
          <w:szCs w:val="20"/>
        </w:rPr>
        <w:t xml:space="preserve">GitHub: github.com/nankolib/butter_options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2D2D2D"/>
          <w:sz w:val="22"/>
          <w:szCs w:val="22"/>
        </w:rPr>
        <w:t xml:space="preserve">Butter Options is a permissionless, peer-to-peer options protocol built on Solana. It allows anyone to create, trade, and settle options on any asset that has a Pyth oracle price feed — including cryptocurrencies, commodities, equities, forex pairs, and tokenized funds like Ondo’s OUSG.</w:t>
      </w:r>
    </w:p>
    <w:p>
      <w:pPr>
        <w:spacing w:after="160"/>
      </w:pPr>
      <w:r>
        <w:rPr>
          <w:rFonts w:ascii="Arial" w:cs="Arial" w:eastAsia="Arial" w:hAnsi="Arial"/>
          <w:color w:val="2D2D2D"/>
          <w:sz w:val="22"/>
          <w:szCs w:val="22"/>
        </w:rPr>
        <w:t xml:space="preserve">The protocol introduces the Living Option Token — the first self-expiring financial instrument token on Solana. Built using Token-2022 extensions, each option token carries its full financial terms in on-chain metadata, enforces its own expiry through a transfer hook, and can be burned by the protocol through a permanent delegate. The token doesn’t just represent an option — it behaves like one.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none" w:color="FFFFFF" w:sz="0"/>
              <w:bottom w:val="none" w:color="FFFFFF" w:sz="0"/>
              <w:right w:val="none" w:color="FFFFFF" w:sz="0"/>
            </w:tcBorders>
            <w:shd w:fill="F8F6F0" w:val="clear"/>
            <w:tcMar>
              <w:top w:type="dxa" w:w="160"/>
              <w:left w:type="dxa" w:w="200"/>
              <w:bottom w:type="dxa" w:w="160"/>
              <w:right w:type="dxa" w:w="200"/>
            </w:tcMar>
          </w:tcPr>
          <w:p>
            <w:pPr>
              <w:spacing w:after="80"/>
            </w:pPr>
            <w:r>
              <w:rPr>
                <w:rFonts w:ascii="Arial" w:cs="Arial" w:eastAsia="Arial" w:hAnsi="Arial"/>
                <w:b/>
                <w:bCs/>
                <w:color w:val="1A1A2E"/>
                <w:sz w:val="22"/>
                <w:szCs w:val="22"/>
              </w:rPr>
              <w:t xml:space="preserve">What makes Butter Options different?</w:t>
            </w:r>
          </w:p>
          <w:p>
            <w:r>
              <w:rPr>
                <w:rFonts w:ascii="Arial" w:cs="Arial" w:eastAsia="Arial" w:hAnsi="Arial"/>
                <w:color w:val="2D2D2D"/>
                <w:sz w:val="20"/>
                <w:szCs w:val="20"/>
              </w:rPr>
              <w:t xml:space="preserve">Every option position is a real SPL token. Whoever holds the token can exercise it. This means options are composable with all of Solana DeFi — they can be held by DAOs, used as collateral, traded on any DEX, or integrated into any protocol via CPI. No permission needed.</w:t>
            </w:r>
          </w:p>
        </w:tc>
      </w:tr>
    </w:tbl>
    <w:p>
      <w:pPr>
        <w:spacing w:after="200"/>
      </w:pPr>
    </w:p>
    <w:p>
      <w:pPr>
        <w:spacing w:after="160"/>
      </w:pPr>
      <w:r>
        <w:rPr>
          <w:rFonts w:ascii="Arial" w:cs="Arial" w:eastAsia="Arial" w:hAnsi="Arial"/>
          <w:color w:val="2D2D2D"/>
          <w:sz w:val="22"/>
          <w:szCs w:val="22"/>
        </w:rPr>
        <w:t xml:space="preserve">The protocol is fully built and deployed to Solana devnet with 27 out of 27 tests passing, 11 smart contract instructions, and a working frontend. It was built entirely using Claude Code with no traditional development team.</w:t>
      </w:r>
    </w:p>
    <w:p>
      <w:r>
        <w:br w:type="page"/>
      </w:r>
    </w:p>
    <w:p>
      <w:pPr>
        <w:pStyle w:val="Heading1"/>
      </w:pPr>
      <w:r>
        <w:t xml:space="preserve">2. The Problem</w:t>
      </w:r>
    </w:p>
    <w:p>
      <w:pPr>
        <w:pStyle w:val="Heading2"/>
      </w:pPr>
      <w:r>
        <w:t xml:space="preserve">2.1 On-Chain Options Are Broken</w:t>
      </w:r>
    </w:p>
    <w:p>
      <w:pPr>
        <w:spacing w:after="160"/>
      </w:pPr>
      <w:r>
        <w:rPr>
          <w:rFonts w:ascii="Arial" w:cs="Arial" w:eastAsia="Arial" w:hAnsi="Arial"/>
          <w:color w:val="2D2D2D"/>
          <w:sz w:val="22"/>
          <w:szCs w:val="22"/>
        </w:rPr>
        <w:t xml:space="preserve">On-chain options on Solana have a troubled history. PsyOptions shut down. Zeta Markets abandoned options to focus on perpetuals. The fundamental problem is that existing protocols treated options like simple database entries — a row in a table that says “User A owns Call Option #42.” This approach creates three critical failures.</w:t>
      </w:r>
    </w:p>
    <w:p>
      <w:pPr>
        <w:spacing w:after="160"/>
      </w:pPr>
      <w:r>
        <w:rPr>
          <w:rFonts w:ascii="Arial" w:cs="Arial" w:eastAsia="Arial" w:hAnsi="Arial"/>
          <w:b/>
          <w:bCs/>
          <w:color w:val="2D2D2D"/>
          <w:sz w:val="22"/>
          <w:szCs w:val="22"/>
        </w:rPr>
        <w:t xml:space="preserve">Shared vault risk. </w:t>
      </w:r>
      <w:r>
        <w:rPr>
          <w:rFonts w:ascii="Arial" w:cs="Arial" w:eastAsia="Arial" w:hAnsi="Arial"/>
          <w:color w:val="2D2D2D"/>
          <w:sz w:val="22"/>
          <w:szCs w:val="22"/>
        </w:rPr>
        <w:t xml:space="preserve">Protocols like Drift pool all user funds into a single vault. When that vault gets exploited, everyone loses everything. On April 1, 2025, Drift suffered a $270 million vault drain. This is not a theoretical risk — it is the defining failure mode of DeFi options.</w:t>
      </w:r>
    </w:p>
    <w:p>
      <w:pPr>
        <w:spacing w:after="160"/>
      </w:pPr>
      <w:r>
        <w:rPr>
          <w:rFonts w:ascii="Arial" w:cs="Arial" w:eastAsia="Arial" w:hAnsi="Arial"/>
          <w:b/>
          <w:bCs/>
          <w:color w:val="2D2D2D"/>
          <w:sz w:val="22"/>
          <w:szCs w:val="22"/>
        </w:rPr>
        <w:t xml:space="preserve">Non-composable positions. </w:t>
      </w:r>
      <w:r>
        <w:rPr>
          <w:rFonts w:ascii="Arial" w:cs="Arial" w:eastAsia="Arial" w:hAnsi="Arial"/>
          <w:color w:val="2D2D2D"/>
          <w:sz w:val="22"/>
          <w:szCs w:val="22"/>
        </w:rPr>
        <w:t xml:space="preserve">If your option is just a database entry inside Protocol X, no other protocol can see it, price it, or interact with it. Your position is trapped inside one application. You cannot use it as collateral on another platform, sell it on a different marketplace, or compose it into a structured product.</w:t>
      </w:r>
    </w:p>
    <w:p>
      <w:pPr>
        <w:spacing w:after="160"/>
      </w:pPr>
      <w:r>
        <w:rPr>
          <w:rFonts w:ascii="Arial" w:cs="Arial" w:eastAsia="Arial" w:hAnsi="Arial"/>
          <w:b/>
          <w:bCs/>
          <w:color w:val="2D2D2D"/>
          <w:sz w:val="22"/>
          <w:szCs w:val="22"/>
        </w:rPr>
        <w:t xml:space="preserve">Static tokens that don’t behave like options. </w:t>
      </w:r>
      <w:r>
        <w:rPr>
          <w:rFonts w:ascii="Arial" w:cs="Arial" w:eastAsia="Arial" w:hAnsi="Arial"/>
          <w:color w:val="2D2D2D"/>
          <w:sz w:val="22"/>
          <w:szCs w:val="22"/>
        </w:rPr>
        <w:t xml:space="preserve">Even protocols that tokenize positions create “dumb receipt tokens” — the token has no idea what it represents. It doesn’t know its strike price, its expiry date, or whether it’s a call or a put. It doesn’t decay. It doesn’t expire. It’s just a pointer to an account on-chain.</w:t>
      </w:r>
    </w:p>
    <w:p>
      <w:pPr>
        <w:pStyle w:val="Heading2"/>
      </w:pPr>
      <w:r>
        <w:t xml:space="preserve">2.2 Why This Matters Now</w:t>
      </w:r>
    </w:p>
    <w:p>
      <w:pPr>
        <w:spacing w:after="160"/>
      </w:pPr>
      <w:r>
        <w:rPr>
          <w:rFonts w:ascii="Arial" w:cs="Arial" w:eastAsia="Arial" w:hAnsi="Arial"/>
          <w:color w:val="2D2D2D"/>
          <w:sz w:val="22"/>
          <w:szCs w:val="22"/>
        </w:rPr>
        <w:t xml:space="preserve">The tokenized asset market is exploding. Ondo Finance, BlackRock’s BUIDL, and dozens of other protocols are bringing real-world assets on-chain — treasuries, commodities, equities, real estate. These assets need hedging tools. A fund holding $50 million in tokenized treasuries needs put options for downside protection. A trader with a leveraged position on Jupiter Perps needs a hedge. There is currently no protocol on Solana that can serve these needs with the reliability and composability that institutional participants require.</w:t>
      </w:r>
    </w:p>
    <w:p>
      <w:r>
        <w:br w:type="page"/>
      </w:r>
    </w:p>
    <w:p>
      <w:pPr>
        <w:pStyle w:val="Heading1"/>
      </w:pPr>
      <w:r>
        <w:t xml:space="preserve">3. The Solution: Butter Options</w:t>
      </w:r>
    </w:p>
    <w:p>
      <w:pPr>
        <w:pStyle w:val="Heading2"/>
      </w:pPr>
      <w:r>
        <w:t xml:space="preserve">3.1 Design Philosophy</w:t>
      </w:r>
    </w:p>
    <w:p>
      <w:pPr>
        <w:spacing w:after="160"/>
      </w:pPr>
      <w:r>
        <w:rPr>
          <w:rFonts w:ascii="Arial" w:cs="Arial" w:eastAsia="Arial" w:hAnsi="Arial"/>
          <w:color w:val="2D2D2D"/>
          <w:sz w:val="22"/>
          <w:szCs w:val="22"/>
        </w:rPr>
        <w:t xml:space="preserve">Butter Options is built on three principles that address the failures described above.</w:t>
      </w:r>
    </w:p>
    <w:p>
      <w:pPr>
        <w:spacing w:after="160"/>
      </w:pPr>
      <w:r>
        <w:rPr>
          <w:rFonts w:ascii="Arial" w:cs="Arial" w:eastAsia="Arial" w:hAnsi="Arial"/>
          <w:b/>
          <w:bCs/>
          <w:color w:val="2D2D2D"/>
          <w:sz w:val="22"/>
          <w:szCs w:val="22"/>
        </w:rPr>
        <w:t xml:space="preserve">Isolated escrow, not shared vaults. </w:t>
      </w:r>
      <w:r>
        <w:rPr>
          <w:rFonts w:ascii="Arial" w:cs="Arial" w:eastAsia="Arial" w:hAnsi="Arial"/>
          <w:color w:val="2D2D2D"/>
          <w:sz w:val="22"/>
          <w:szCs w:val="22"/>
        </w:rPr>
        <w:t xml:space="preserve">Every option position has its own escrow PDA (Program Derived Address). When a seller writes an option and locks $2,000 in USDC collateral, that $2,000 sits in a separate on-chain account that can only be touched by instructions governing that specific option’s lifecycle. There is no pool. There is no shared vault. There is nothing for an attacker to drain because there is no central place where funds accumulate.</w:t>
      </w:r>
    </w:p>
    <w:p>
      <w:pPr>
        <w:spacing w:after="160"/>
      </w:pPr>
      <w:r>
        <w:rPr>
          <w:rFonts w:ascii="Arial" w:cs="Arial" w:eastAsia="Arial" w:hAnsi="Arial"/>
          <w:b/>
          <w:bCs/>
          <w:color w:val="2D2D2D"/>
          <w:sz w:val="22"/>
          <w:szCs w:val="22"/>
        </w:rPr>
        <w:t xml:space="preserve">Tokenized positions via SPL tokens. </w:t>
      </w:r>
      <w:r>
        <w:rPr>
          <w:rFonts w:ascii="Arial" w:cs="Arial" w:eastAsia="Arial" w:hAnsi="Arial"/>
          <w:color w:val="2D2D2D"/>
          <w:sz w:val="22"/>
          <w:szCs w:val="22"/>
        </w:rPr>
        <w:t xml:space="preserve">Every option position mints a unique SPL token. Whoever holds the token can exercise the option. This makes Butter Options fully composable with all of Solana DeFi — option tokens can be held by smart contracts, traded on DEXes, used as collateral on lending platforms, or integrated into structured products.</w:t>
      </w:r>
    </w:p>
    <w:p>
      <w:pPr>
        <w:spacing w:after="160"/>
      </w:pPr>
      <w:r>
        <w:rPr>
          <w:rFonts w:ascii="Arial" w:cs="Arial" w:eastAsia="Arial" w:hAnsi="Arial"/>
          <w:b/>
          <w:bCs/>
          <w:color w:val="2D2D2D"/>
          <w:sz w:val="22"/>
          <w:szCs w:val="22"/>
        </w:rPr>
        <w:t xml:space="preserve">The Living Option Token. </w:t>
      </w:r>
      <w:r>
        <w:rPr>
          <w:rFonts w:ascii="Arial" w:cs="Arial" w:eastAsia="Arial" w:hAnsi="Arial"/>
          <w:color w:val="2D2D2D"/>
          <w:sz w:val="22"/>
          <w:szCs w:val="22"/>
        </w:rPr>
        <w:t xml:space="preserve">Each option token is built using Token-2022 with three extensions: a transfer hook that blocks transfers after expiry, a permanent delegate that allows the protocol to burn expired tokens, and metadata that carries the full financial terms on-chain. The token IS the financial instrument, not a receipt pointing to one.</w:t>
      </w:r>
    </w:p>
    <w:p>
      <w:pPr>
        <w:pStyle w:val="Heading2"/>
      </w:pPr>
      <w:r>
        <w:t xml:space="preserve">3.2 How the Living Option Token Works</w:t>
      </w:r>
    </w:p>
    <w:p>
      <w:pPr>
        <w:spacing w:after="160"/>
      </w:pPr>
      <w:r>
        <w:rPr>
          <w:rFonts w:ascii="Arial" w:cs="Arial" w:eastAsia="Arial" w:hAnsi="Arial"/>
          <w:color w:val="2D2D2D"/>
          <w:sz w:val="22"/>
          <w:szCs w:val="22"/>
        </w:rPr>
        <w:t xml:space="preserve">The Living Option Token is a Token-2022 SPL token with three extensions that make it behave like the real financial instrument it represents.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Transfer Hook</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 small program that runs automatically every time someone tries to transfer the token. It checks the option’s expiry timestamp. If the option has expired, the transfer is blocked.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token literally dies when it expires. Nobody can trade a dead option. This is enforced at the protocol level — no wallet, no DEX, no smart contract can override it.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Permanent Delegate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Gives the Butter Options protocol permanent authority to burn any option token at any time, without needing the holder’s signature.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Enables automatic cleanup of expired tokens and settlement mechanics. The protocol can burn tokens during exercise (converting them to cash) or after expiry (cleaning up dead instruments).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Metadata Extension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Stores the full financial terms of the option directly on the token mint — the underlying asset name, strike price, expiry timestamp, option type (call/put), Pyth oracle address, collateral per token, and the market PDA address.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 wallet, protocol, or AI agent can read the token’s metadata and know exactly what it represents. Phantom shows “BUTTER-SOL-200C-APR15” instead of “Unknown Token.” Any program can compute the option’s fair value from the metadata + Pyth price feed without calling Butter’s SDK.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none" w:color="FFFFFF" w:sz="0"/>
              <w:bottom w:val="none" w:color="FFFFFF" w:sz="0"/>
              <w:right w:val="none" w:color="FFFFFF" w:sz="0"/>
            </w:tcBorders>
            <w:shd w:fill="F8F6F0" w:val="clear"/>
            <w:tcMar>
              <w:top w:type="dxa" w:w="160"/>
              <w:left w:type="dxa" w:w="200"/>
              <w:bottom w:type="dxa" w:w="160"/>
              <w:right w:type="dxa" w:w="200"/>
            </w:tcMar>
          </w:tcPr>
          <w:p>
            <w:pPr>
              <w:spacing w:after="80"/>
            </w:pPr>
            <w:r>
              <w:rPr>
                <w:rFonts w:ascii="Arial" w:cs="Arial" w:eastAsia="Arial" w:hAnsi="Arial"/>
                <w:b/>
                <w:bCs/>
                <w:color w:val="1A1A2E"/>
                <w:sz w:val="22"/>
                <w:szCs w:val="22"/>
              </w:rPr>
              <w:t xml:space="preserve">Why has nobody built this before?</w:t>
            </w:r>
          </w:p>
          <w:p>
            <w:r>
              <w:rPr>
                <w:rFonts w:ascii="Arial" w:cs="Arial" w:eastAsia="Arial" w:hAnsi="Arial"/>
                <w:color w:val="2D2D2D"/>
                <w:sz w:val="20"/>
                <w:szCs w:val="20"/>
              </w:rPr>
              <w:t xml:space="preserve">Token-2022 made it technically possible with transfer hooks and metadata extensions, but nobody has used these tools to create a time-decaying financial instrument token. The concept of a self-expiring, self-describing token that enforces its own lifecycle is novel — it does not exist on Solana or any other blockchain.</w:t>
            </w:r>
          </w:p>
        </w:tc>
      </w:tr>
    </w:tbl>
    <w:p>
      <w:pPr>
        <w:spacing w:after="200"/>
      </w:pPr>
    </w:p>
    <w:p>
      <w:r>
        <w:br w:type="page"/>
      </w:r>
    </w:p>
    <w:p>
      <w:pPr>
        <w:pStyle w:val="Heading1"/>
      </w:pPr>
      <w:r>
        <w:t xml:space="preserve">4. Protocol Architecture</w:t>
      </w:r>
    </w:p>
    <w:p>
      <w:pPr>
        <w:pStyle w:val="Heading2"/>
      </w:pPr>
      <w:r>
        <w:t xml:space="preserve">4.1 Smart Contract Overview</w:t>
      </w:r>
    </w:p>
    <w:p>
      <w:pPr>
        <w:spacing w:after="160"/>
      </w:pPr>
      <w:r>
        <w:rPr>
          <w:rFonts w:ascii="Arial" w:cs="Arial" w:eastAsia="Arial" w:hAnsi="Arial"/>
          <w:color w:val="2D2D2D"/>
          <w:sz w:val="22"/>
          <w:szCs w:val="22"/>
        </w:rPr>
        <w:t xml:space="preserve">The Butter Options protocol consists of two on-chain programs deployed to Solana.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4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Program ID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Butter Options (main)</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All 11 instructions for creating markets, writing options, trading, settling, and exercising</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CtzJ4MJYX6BFvF4g67i5C24tQuwRn6ddKkaE5L84z9Cq</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Transfer Hook</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hook program that enforces expiry on every token transfer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83EW6a9o9P5CmGUkQKvVZvsz6v6Dgztiw5M4tVjfZMAG</w:t>
            </w:r>
          </w:p>
        </w:tc>
      </w:tr>
    </w:tbl>
    <w:p>
      <w:pPr>
        <w:spacing w:after="200"/>
      </w:pPr>
    </w:p>
    <w:p>
      <w:pPr>
        <w:pStyle w:val="Heading2"/>
      </w:pPr>
      <w:r>
        <w:t xml:space="preserve">4.2 The 11 Instructions</w:t>
      </w:r>
    </w:p>
    <w:p>
      <w:pPr>
        <w:spacing w:after="160"/>
      </w:pPr>
      <w:r>
        <w:rPr>
          <w:rFonts w:ascii="Arial" w:cs="Arial" w:eastAsia="Arial" w:hAnsi="Arial"/>
          <w:color w:val="2D2D2D"/>
          <w:sz w:val="22"/>
          <w:szCs w:val="22"/>
        </w:rPr>
        <w:t xml:space="preserve">Think of these as the 11 things the protocol can do. Each instruction is a function that runs on the Solana blockchain when a user (or another program) calls it.</w:t>
      </w:r>
    </w:p>
    <w:p>
      <w:pPr>
        <w:spacing w:after="200"/>
      </w:pPr>
    </w:p>
    <w:p>
      <w:pPr>
        <w:pStyle w:val="Heading3"/>
      </w:pPr>
      <w:r>
        <w:t xml:space="preserve">Protocol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rPr>
          <w:tblHeader/>
        </w:trPr>
        <w:tc>
          <w:tcPr>
            <w:tcW w:type="dxa" w:w="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Can Call It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initialize_protocol</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One-time setup that creates the protocol state account, sets the admin, the treasury wallet for collecting fees, and the fee rate (currently 0.5%). Think of this as turning the key to start the car.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Admin only (one time)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create_market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Creates a new options market for any asset. You provide the asset name (e.g. “SOL”, “AAPL”, “XAU”), the Pyth oracle address for that asset’s price feed, the expiry timestamp, the strike price, option type (call or put), and asset class. The protocol creates an OptionsMarket account on-chain.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Anyone</w:t>
            </w:r>
          </w:p>
        </w:tc>
      </w:tr>
    </w:tbl>
    <w:p>
      <w:pPr>
        <w:spacing w:after="200"/>
      </w:pPr>
    </w:p>
    <w:p>
      <w:pPr>
        <w:pStyle w:val="Heading3"/>
      </w:pPr>
      <w:r>
        <w:t xml:space="preserve">Primary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rPr>
          <w:tblHeader/>
        </w:trPr>
        <w:tc>
          <w:tcPr>
            <w:tcW w:type="dxa" w:w="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Can Call It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write_option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seller locks USDC collateral in an isolated escrow PDA and the protocol mints SPL option tokens (using Token-2022 with all three extensions). The tokens go into a purchase escrow, ready for buyers. This is the most complex instruction — it creates the mint, initializes all three extensions, writes metadata, creates the hook state, and mints tokens, all in one atomic transaction.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Anyone (becomes the “writer”)</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purchase_option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 buyer pays the premium in USDC and receives option tokens from the purchase escrow. The premium is split: 99.5% goes to the writer, 0.5% goes to the protocol treasury as a fee. Supports partial fills — you can buy 10 tokens out of 100 available.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Anyone (except the writer — self-buy prevention)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cancel_option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writer burns ALL unsold tokens and reclaims their locked USDC collateral. Only works if nobody has bought any tokens yet. Once even one token is sold, the writer is committed.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Writer only (before any sale)</w:t>
            </w:r>
          </w:p>
        </w:tc>
      </w:tr>
    </w:tbl>
    <w:p>
      <w:pPr>
        <w:spacing w:after="200"/>
      </w:pPr>
    </w:p>
    <w:p>
      <w:pPr>
        <w:pStyle w:val="Heading3"/>
      </w:pPr>
      <w:r>
        <w:t xml:space="preserve">Settlement and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rPr>
          <w:tblHeader/>
        </w:trPr>
        <w:tc>
          <w:tcPr>
            <w:tcW w:type="dxa" w:w="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Can Call It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settle_market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Sets the final settlement price after the option’s expiry time has passed. This determines whether each option is in-the-money (profitable) or out-of-the-money (worthless). In production, this reads from Pyth; on devnet it accepts an admin-provided price.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Admin (after expiry)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7</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exercise_option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token holder burns their option tokens and receives their proportional payout from the escrow. For a call option: payout = (settlement_price - strike_price) per token. For a put option: payout = (strike_price - settlement_price) per token. If out-of-the-money, payout is zero.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 holder (after settlement)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8</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expire_option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Returns the remaining collateral to the writer for options that were not exercised. Handles the case where options expire worthless — the writer gets their locked USDC back.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Anyone (after settlement)</w:t>
            </w:r>
          </w:p>
        </w:tc>
      </w:tr>
    </w:tbl>
    <w:p>
      <w:pPr>
        <w:spacing w:after="200"/>
      </w:pPr>
    </w:p>
    <w:p>
      <w:pPr>
        <w:pStyle w:val="Heading3"/>
      </w:pPr>
      <w:r>
        <w:t xml:space="preserve">Secondary Market (P2P Resale)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rPr>
          <w:tblHeader/>
        </w:trPr>
        <w:tc>
          <w:tcPr>
            <w:tcW w:type="dxa" w:w="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Can Call It</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9</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list_for_resale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 token holder lists some or all of their option tokens for sale on the built-in P2P marketplace. Tokens are transferred to a resale escrow PDA so they cannot be double-spent. The seller sets their own price.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 token holder</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buy_resale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 buyer purchases tokens from a resale listing. USDC goes to the seller (minus 0.5% protocol fee), tokens go to the buyer. Supports partial fills.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Anyone (except the lister)</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cancel_resale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lister takes their listing down and gets their tokens back from escrow.</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Lister only</w:t>
            </w:r>
          </w:p>
        </w:tc>
      </w:tr>
    </w:tbl>
    <w:p>
      <w:pPr>
        <w:spacing w:after="200"/>
      </w:pPr>
    </w:p>
    <w:p>
      <w:r>
        <w:br w:type="page"/>
      </w:r>
    </w:p>
    <w:p>
      <w:pPr>
        <w:pStyle w:val="Heading2"/>
      </w:pPr>
      <w:r>
        <w:t xml:space="preserve">4.3 Account Structure and PDAs</w:t>
      </w:r>
    </w:p>
    <w:p>
      <w:pPr>
        <w:spacing w:after="160"/>
      </w:pPr>
      <w:r>
        <w:rPr>
          <w:rFonts w:ascii="Arial" w:cs="Arial" w:eastAsia="Arial" w:hAnsi="Arial"/>
          <w:color w:val="2D2D2D"/>
          <w:sz w:val="22"/>
          <w:szCs w:val="22"/>
        </w:rPr>
        <w:t xml:space="preserve">Solana programs store all their data in “accounts” on the blockchain. Each account has an address (like a unique ID) and holds data. Butter Options uses Program Derived Addresses (PDAs) — addresses that are deterministically computed from “seeds” so anyone can find them without looking them up in a database.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Seeds (how to find it)</w:t>
            </w:r>
          </w:p>
        </w:tc>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ProtocolState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["protocol_state"]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Admin pubkey, treasury pubkey, fee rate, total markets created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OptionsMarket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["options_market", market_index (as u64 bytes)]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Asset name, strike price, expiry timestamp, settlement price, option type (call/put), asset class, Pyth oracle address, settled flag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OptionPosition</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["option_position", market PDA, writer pubkey]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Writer pubkey, premium per token, total supply, tokens sold, collateral amount, USDC escrow address, option mint address, status flags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Collateral Escrow</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["escrow", market PDA, writer pubkey]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USDC token account holding the writer’s locked collateral. Only the protocol PDA can move funds in/out.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Purchase Escrow</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["purchase_escrow", option position PDA]</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Token-2022 token account holding unsold option tokens, waiting for buyers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ResaleListing</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["resale_listing", option position PDA, seller pubkey]</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Seller pubkey, price per token, number of tokens listed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Resale Escrow</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["resale_escrow", resale listing PDA]</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Token-2022 token account holding tokens listed for resale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ExtraAccountMetaList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["extra-account-metas", mint pubkey] (hook program)</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The list of extra accounts the transfer hook needs to run its validation logic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HookState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["hook-state", mint pubkey] (hook program)</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Stores the option’s expiry timestamp so the transfer hook knows when to block transfers</w:t>
            </w:r>
          </w:p>
        </w:tc>
      </w:tr>
    </w:tbl>
    <w:p>
      <w:pPr>
        <w:spacing w:after="200"/>
      </w:pPr>
    </w:p>
    <w:p>
      <w:r>
        <w:br w:type="page"/>
      </w:r>
    </w:p>
    <w:p>
      <w:pPr>
        <w:pStyle w:val="Heading1"/>
      </w:pPr>
      <w:r>
        <w:t xml:space="preserve">5. Permissionless Any-Asset Support</w:t>
      </w:r>
    </w:p>
    <w:p>
      <w:pPr>
        <w:spacing w:after="160"/>
      </w:pPr>
      <w:r>
        <w:rPr>
          <w:rFonts w:ascii="Arial" w:cs="Arial" w:eastAsia="Arial" w:hAnsi="Arial"/>
          <w:color w:val="2D2D2D"/>
          <w:sz w:val="22"/>
          <w:szCs w:val="22"/>
        </w:rPr>
        <w:t xml:space="preserve">Butter Options does not have a hardcoded list of supported assets. Any asset with a Pyth Network oracle price feed can have an options market created for it. This includes cryptocurrencies (SOL, BTC, ETH), commodities (gold, silver, oil), equities (AAPL, TSLA, MSTR), forex pairs (EUR/USD, GBP/USD), and tokenized funds (Ondo’s OUSG, BlackRock’s BUIDL).</w:t>
      </w:r>
    </w:p>
    <w:p>
      <w:pPr>
        <w:spacing w:after="160"/>
      </w:pPr>
      <w:r>
        <w:rPr>
          <w:rFonts w:ascii="Arial" w:cs="Arial" w:eastAsia="Arial" w:hAnsi="Arial"/>
          <w:color w:val="2D2D2D"/>
          <w:sz w:val="22"/>
          <w:szCs w:val="22"/>
        </w:rPr>
        <w:t xml:space="preserve">When someone calls create_market, they provide the asset name as a string and the corresponding Pyth oracle address. The protocol does not validate whether the asset is “approved” — it simply creates the market. This is permissionless by design.</w:t>
      </w:r>
    </w:p>
    <w:p>
      <w:pPr>
        <w:pStyle w:val="Heading2"/>
      </w:pPr>
      <w:r>
        <w:t xml:space="preserve">5.1 Asset-Class-Aware Pricing</w:t>
      </w:r>
    </w:p>
    <w:p>
      <w:pPr>
        <w:spacing w:after="160"/>
      </w:pPr>
      <w:r>
        <w:rPr>
          <w:rFonts w:ascii="Arial" w:cs="Arial" w:eastAsia="Arial" w:hAnsi="Arial"/>
          <w:color w:val="2D2D2D"/>
          <w:sz w:val="22"/>
          <w:szCs w:val="22"/>
        </w:rPr>
        <w:t xml:space="preserve">Different asset classes behave very differently. A SOL option and a Gold option should not be priced the same way, even if they have the same strike distance and time to expiry. SOL can move 30% in a day. Gold might move 2% in a month. A pricing engine that treats them the same will either overprice gold options (nobody buys them) or underprice crypto options (the writer gets destroyed).</w:t>
      </w:r>
    </w:p>
    <w:p>
      <w:pPr>
        <w:spacing w:after="160"/>
      </w:pPr>
      <w:r>
        <w:rPr>
          <w:rFonts w:ascii="Arial" w:cs="Arial" w:eastAsia="Arial" w:hAnsi="Arial"/>
          <w:color w:val="2D2D2D"/>
          <w:sz w:val="22"/>
          <w:szCs w:val="22"/>
        </w:rPr>
        <w:t xml:space="preserve">Butter’s SDK pricing engine applies different profiles based on the asset class specified when the market was created.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160"/>
        <w:gridCol w:w="240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Asset Class</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Volatility</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Model</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Special Risk Factor</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Assets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Crypto (0)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High (60–120%+ annual)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24/7 continuous (8,760 hours/year)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Jump risk premium for flash crashes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SOL, BTC, ETH, BONK</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Commodity (1)</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Low–Medium (15–30%)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Trading hours with weekend gaps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Supply shock premium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Gold (XAU), Oil (WTI), Silver</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Equity (2)</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Medium (20–40%)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Trading hours (252 days/year)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Earnings event spike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AAPL, TSLA, MSTR, NVDA</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Forex (3)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Low (5–15%)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24/5 (weekday only)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Central bank event awareness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EUR/USD, GBP/USD, JPY/USD</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ETF/Fund (4)</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Low (5–20%)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Varies by underlying</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Depeg risk premium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OUSG, USTB, SPY, BUIDL</w:t>
            </w:r>
          </w:p>
        </w:tc>
      </w:tr>
    </w:tbl>
    <w:p>
      <w:pPr>
        <w:spacing w:after="200"/>
      </w:pPr>
    </w:p>
    <w:p>
      <w:pPr>
        <w:pStyle w:val="Heading2"/>
      </w:pPr>
      <w:r>
        <w:t xml:space="preserve">5.2 The Four Black-Scholes Improvements</w:t>
      </w:r>
    </w:p>
    <w:p>
      <w:pPr>
        <w:spacing w:after="160"/>
      </w:pPr>
      <w:r>
        <w:rPr>
          <w:rFonts w:ascii="Arial" w:cs="Arial" w:eastAsia="Arial" w:hAnsi="Arial"/>
          <w:color w:val="2D2D2D"/>
          <w:sz w:val="22"/>
          <w:szCs w:val="22"/>
        </w:rPr>
        <w:t xml:space="preserve">Standard Black-Scholes was designed for stock options in 1973. It assumes prices move smoothly, markets close at night, and volatility is constant. None of this is true for crypto or tokenized assets. Butter’s pricing engine makes four key improvements.</w:t>
      </w:r>
    </w:p>
    <w:p>
      <w:pPr>
        <w:spacing w:after="160"/>
      </w:pPr>
      <w:r>
        <w:rPr>
          <w:rFonts w:ascii="Arial" w:cs="Arial" w:eastAsia="Arial" w:hAnsi="Arial"/>
          <w:b/>
          <w:bCs/>
          <w:color w:val="2D2D2D"/>
          <w:sz w:val="22"/>
          <w:szCs w:val="22"/>
        </w:rPr>
        <w:t xml:space="preserve">Realized volatility from Pyth. </w:t>
      </w:r>
      <w:r>
        <w:rPr>
          <w:rFonts w:ascii="Arial" w:cs="Arial" w:eastAsia="Arial" w:hAnsi="Arial"/>
          <w:color w:val="2D2D2D"/>
          <w:sz w:val="22"/>
          <w:szCs w:val="22"/>
        </w:rPr>
        <w:t xml:space="preserve">Instead of using a single static volatility number, Butter calculates actual volatility from Pyth oracle price data over the last 24 hours. When the market is calm, options are cheap and attract buyers. When the market is chaotic, options are expensive and protect writers.</w:t>
      </w:r>
    </w:p>
    <w:p>
      <w:pPr>
        <w:spacing w:after="160"/>
      </w:pPr>
      <w:r>
        <w:rPr>
          <w:rFonts w:ascii="Arial" w:cs="Arial" w:eastAsia="Arial" w:hAnsi="Arial"/>
          <w:b/>
          <w:bCs/>
          <w:color w:val="2D2D2D"/>
          <w:sz w:val="22"/>
          <w:szCs w:val="22"/>
        </w:rPr>
        <w:t xml:space="preserve">Jump risk premium. </w:t>
      </w:r>
      <w:r>
        <w:rPr>
          <w:rFonts w:ascii="Arial" w:cs="Arial" w:eastAsia="Arial" w:hAnsi="Arial"/>
          <w:color w:val="2D2D2D"/>
          <w:sz w:val="22"/>
          <w:szCs w:val="22"/>
        </w:rPr>
        <w:t xml:space="preserve">Black-Scholes assumes prices move in tiny continuous steps. Crypto doesn’t — it jumps. Butter counts how many times an asset has moved 10%+ in a single hour over the past 90 days and adds a surcharge. SOL (jumpy) costs more than gold (smooth).</w:t>
      </w:r>
    </w:p>
    <w:p>
      <w:pPr>
        <w:spacing w:after="160"/>
      </w:pPr>
      <w:r>
        <w:rPr>
          <w:rFonts w:ascii="Arial" w:cs="Arial" w:eastAsia="Arial" w:hAnsi="Arial"/>
          <w:b/>
          <w:bCs/>
          <w:color w:val="2D2D2D"/>
          <w:sz w:val="22"/>
          <w:szCs w:val="22"/>
        </w:rPr>
        <w:t xml:space="preserve">Vault utilization surge pricing. </w:t>
      </w:r>
      <w:r>
        <w:rPr>
          <w:rFonts w:ascii="Arial" w:cs="Arial" w:eastAsia="Arial" w:hAnsi="Arial"/>
          <w:color w:val="2D2D2D"/>
          <w:sz w:val="22"/>
          <w:szCs w:val="22"/>
        </w:rPr>
        <w:t xml:space="preserve">Designed for Phase 3 when protocol-managed vaults are introduced. When a vault is nearly full, every new option is riskier because there is less buffer. The premium increases as utilization rises — like ride-share surge pricing. Self-regulating.</w:t>
      </w:r>
    </w:p>
    <w:p>
      <w:pPr>
        <w:spacing w:after="160"/>
      </w:pPr>
      <w:r>
        <w:rPr>
          <w:rFonts w:ascii="Arial" w:cs="Arial" w:eastAsia="Arial" w:hAnsi="Arial"/>
          <w:b/>
          <w:bCs/>
          <w:color w:val="2D2D2D"/>
          <w:sz w:val="22"/>
          <w:szCs w:val="22"/>
        </w:rPr>
        <w:t xml:space="preserve">24/7 continuous time decay. </w:t>
      </w:r>
      <w:r>
        <w:rPr>
          <w:rFonts w:ascii="Arial" w:cs="Arial" w:eastAsia="Arial" w:hAnsi="Arial"/>
          <w:color w:val="2D2D2D"/>
          <w:sz w:val="22"/>
          <w:szCs w:val="22"/>
        </w:rPr>
        <w:t xml:space="preserve">Black-Scholes uses 252 trading days per year because stock markets close at night. Crypto never closes. A 6-hour option priced with traditional math looks nearly worthless, but 6 hours in crypto is plenty of time for a 10% move. Butter uses 8,760 hours per year for smooth, continuous time decay for crypto assets.</w:t>
      </w:r>
    </w:p>
    <w:p>
      <w:r>
        <w:br w:type="page"/>
      </w:r>
    </w:p>
    <w:p>
      <w:pPr>
        <w:pStyle w:val="Heading1"/>
      </w:pPr>
      <w:r>
        <w:t xml:space="preserve">6. Security Architecture</w:t>
      </w:r>
    </w:p>
    <w:p>
      <w:pPr>
        <w:pStyle w:val="Heading2"/>
      </w:pPr>
      <w:r>
        <w:t xml:space="preserve">6.1 Isolated Escrow Model</w:t>
      </w:r>
    </w:p>
    <w:p>
      <w:pPr>
        <w:spacing w:after="160"/>
      </w:pPr>
      <w:r>
        <w:rPr>
          <w:rFonts w:ascii="Arial" w:cs="Arial" w:eastAsia="Arial" w:hAnsi="Arial"/>
          <w:color w:val="2D2D2D"/>
          <w:sz w:val="22"/>
          <w:szCs w:val="22"/>
        </w:rPr>
        <w:t xml:space="preserve">The most important security decision in Butter Options is the isolated escrow model. Every option position has its own dedicated escrow PDA. When a writer locks $2,000 USDC as collateral for an option, that $2,000 sits in a separate account derived from the specific market PDA and writer pubkey. It cannot be accessed by any other position, any other user, or any other instruction except the ones governing that specific option’s lifecycle.</w:t>
      </w:r>
    </w:p>
    <w:p>
      <w:pPr>
        <w:spacing w:after="160"/>
      </w:pPr>
      <w:r>
        <w:rPr>
          <w:rFonts w:ascii="Arial" w:cs="Arial" w:eastAsia="Arial" w:hAnsi="Arial"/>
          <w:color w:val="2D2D2D"/>
          <w:sz w:val="22"/>
          <w:szCs w:val="22"/>
        </w:rPr>
        <w:t xml:space="preserve">There is no pool. There is no shared vault. There is nothing for an attacker to drain because there is no central place where funds accumulate.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none" w:color="FFFFFF" w:sz="0"/>
              <w:bottom w:val="none" w:color="FFFFFF" w:sz="0"/>
              <w:right w:val="none" w:color="FFFFFF" w:sz="0"/>
            </w:tcBorders>
            <w:shd w:fill="F8F6F0" w:val="clear"/>
            <w:tcMar>
              <w:top w:type="dxa" w:w="160"/>
              <w:left w:type="dxa" w:w="200"/>
              <w:bottom w:type="dxa" w:w="160"/>
              <w:right w:type="dxa" w:w="200"/>
            </w:tcMar>
          </w:tcPr>
          <w:p>
            <w:pPr>
              <w:spacing w:after="80"/>
            </w:pPr>
            <w:r>
              <w:rPr>
                <w:rFonts w:ascii="Arial" w:cs="Arial" w:eastAsia="Arial" w:hAnsi="Arial"/>
                <w:b/>
                <w:bCs/>
                <w:color w:val="1A1A2E"/>
                <w:sz w:val="22"/>
                <w:szCs w:val="22"/>
              </w:rPr>
              <w:t xml:space="preserve">Why not a shared vault?</w:t>
            </w:r>
          </w:p>
          <w:p>
            <w:r>
              <w:rPr>
                <w:rFonts w:ascii="Arial" w:cs="Arial" w:eastAsia="Arial" w:hAnsi="Arial"/>
                <w:color w:val="2D2D2D"/>
                <w:sz w:val="20"/>
                <w:szCs w:val="20"/>
              </w:rPr>
              <w:t xml:space="preserve">Shared vaults are more capital efficient — a seller writing 5 options only needs to deposit once. But we watched $270 million vanish from Drift’s shared vault in minutes. We chose safety over capital efficiency for Phase 1. Phase 3 introduces protocol-managed vaults with 5 layers of protection, but only after audit.</w:t>
            </w:r>
          </w:p>
        </w:tc>
      </w:tr>
    </w:tbl>
    <w:p>
      <w:pPr>
        <w:spacing w:after="200"/>
      </w:pPr>
    </w:p>
    <w:p>
      <w:pPr>
        <w:pStyle w:val="Heading2"/>
      </w:pPr>
      <w:r>
        <w:t xml:space="preserve">6.2 Additional Security Measures</w:t>
      </w:r>
    </w:p>
    <w:p>
      <w:pPr>
        <w:spacing w:after="160"/>
      </w:pPr>
      <w:r>
        <w:rPr>
          <w:rFonts w:ascii="Arial" w:cs="Arial" w:eastAsia="Arial" w:hAnsi="Arial"/>
          <w:b/>
          <w:bCs/>
          <w:color w:val="2D2D2D"/>
          <w:sz w:val="22"/>
          <w:szCs w:val="22"/>
        </w:rPr>
        <w:t xml:space="preserve">Self-buy prevention. </w:t>
      </w:r>
      <w:r>
        <w:rPr>
          <w:rFonts w:ascii="Arial" w:cs="Arial" w:eastAsia="Arial" w:hAnsi="Arial"/>
          <w:color w:val="2D2D2D"/>
          <w:sz w:val="22"/>
          <w:szCs w:val="22"/>
        </w:rPr>
        <w:t xml:space="preserve">A writer cannot buy their own options on the primary market, and a lister cannot buy their own resale listing. This prevents wash trading and premium manipulation.</w:t>
      </w:r>
    </w:p>
    <w:p>
      <w:pPr>
        <w:spacing w:after="160"/>
      </w:pPr>
      <w:r>
        <w:rPr>
          <w:rFonts w:ascii="Arial" w:cs="Arial" w:eastAsia="Arial" w:hAnsi="Arial"/>
          <w:b/>
          <w:bCs/>
          <w:color w:val="2D2D2D"/>
          <w:sz w:val="22"/>
          <w:szCs w:val="22"/>
        </w:rPr>
        <w:t xml:space="preserve">Protocol-signed escrow. </w:t>
      </w:r>
      <w:r>
        <w:rPr>
          <w:rFonts w:ascii="Arial" w:cs="Arial" w:eastAsia="Arial" w:hAnsi="Arial"/>
          <w:color w:val="2D2D2D"/>
          <w:sz w:val="22"/>
          <w:szCs w:val="22"/>
        </w:rPr>
        <w:t xml:space="preserve">All USDC transfers from escrow accounts are signed by the protocol PDA, not by any individual user. No single wallet controls funds.</w:t>
      </w:r>
    </w:p>
    <w:p>
      <w:pPr>
        <w:spacing w:after="160"/>
      </w:pPr>
      <w:r>
        <w:rPr>
          <w:rFonts w:ascii="Arial" w:cs="Arial" w:eastAsia="Arial" w:hAnsi="Arial"/>
          <w:b/>
          <w:bCs/>
          <w:color w:val="2D2D2D"/>
          <w:sz w:val="22"/>
          <w:szCs w:val="22"/>
        </w:rPr>
        <w:t xml:space="preserve">Atomic transactions. </w:t>
      </w:r>
      <w:r>
        <w:rPr>
          <w:rFonts w:ascii="Arial" w:cs="Arial" w:eastAsia="Arial" w:hAnsi="Arial"/>
          <w:color w:val="2D2D2D"/>
          <w:sz w:val="22"/>
          <w:szCs w:val="22"/>
        </w:rPr>
        <w:t xml:space="preserve">Every instruction either fully succeeds or fully reverts. There is no state where collateral is locked but tokens are not minted, or tokens are burned but payout is not sent.</w:t>
      </w:r>
    </w:p>
    <w:p>
      <w:pPr>
        <w:spacing w:after="160"/>
      </w:pPr>
      <w:r>
        <w:rPr>
          <w:rFonts w:ascii="Arial" w:cs="Arial" w:eastAsia="Arial" w:hAnsi="Arial"/>
          <w:b/>
          <w:bCs/>
          <w:color w:val="2D2D2D"/>
          <w:sz w:val="22"/>
          <w:szCs w:val="22"/>
        </w:rPr>
        <w:t xml:space="preserve">European-style settlement. </w:t>
      </w:r>
      <w:r>
        <w:rPr>
          <w:rFonts w:ascii="Arial" w:cs="Arial" w:eastAsia="Arial" w:hAnsi="Arial"/>
          <w:color w:val="2D2D2D"/>
          <w:sz w:val="22"/>
          <w:szCs w:val="22"/>
        </w:rPr>
        <w:t xml:space="preserve">Options can only be exercised after settlement, not before. This eliminates the complexity and attack surface of American-style early exercise.</w:t>
      </w:r>
    </w:p>
    <w:p>
      <w:pPr>
        <w:spacing w:after="160"/>
      </w:pPr>
      <w:r>
        <w:rPr>
          <w:rFonts w:ascii="Arial" w:cs="Arial" w:eastAsia="Arial" w:hAnsi="Arial"/>
          <w:b/>
          <w:bCs/>
          <w:color w:val="2D2D2D"/>
          <w:sz w:val="22"/>
          <w:szCs w:val="22"/>
        </w:rPr>
        <w:t xml:space="preserve">USDC-only collateral. </w:t>
      </w:r>
      <w:r>
        <w:rPr>
          <w:rFonts w:ascii="Arial" w:cs="Arial" w:eastAsia="Arial" w:hAnsi="Arial"/>
          <w:color w:val="2D2D2D"/>
          <w:sz w:val="22"/>
          <w:szCs w:val="22"/>
        </w:rPr>
        <w:t xml:space="preserve">All collateral and premiums are denominated in USDC. This eliminates collateral volatility risk (the collateral itself cannot lose value) and simplifies the settlement math.</w:t>
      </w:r>
    </w:p>
    <w:p>
      <w:pPr>
        <w:pStyle w:val="Heading2"/>
      </w:pPr>
      <w:r>
        <w:t xml:space="preserve">6.3 Phase 3 Vault Protection Architecture (Designed)</w:t>
      </w:r>
    </w:p>
    <w:p>
      <w:pPr>
        <w:spacing w:after="160"/>
      </w:pPr>
      <w:r>
        <w:rPr>
          <w:rFonts w:ascii="Arial" w:cs="Arial" w:eastAsia="Arial" w:hAnsi="Arial"/>
          <w:color w:val="2D2D2D"/>
          <w:sz w:val="22"/>
          <w:szCs w:val="22"/>
        </w:rPr>
        <w:t xml:space="preserve">When protocol-managed vaults are introduced in Phase 3, they will include a 5-layer protection system designed to prevent the catastrophic failures seen in other protocols.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6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Exposure caps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Maximum 30% of vault capital deployed at any time. 70% always in reserve.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Per-asset concentration limits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No single asset can represent more than a set percentage of total vault exposure. Prevents concentration risk.</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Directional hedging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Call exposure partially offsets put exposure on the same asset. Net exposure is what matters, not gross.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Insurance fund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 portion of premium profits is set aside as an insurance buffer. First line of defense against unexpected losses.</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Circuit breakers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Automatic pause triggers if drawdown exceeds thresholds. Prevents cascading losses during market crashes.</w:t>
            </w:r>
          </w:p>
        </w:tc>
      </w:tr>
    </w:tbl>
    <w:p>
      <w:pPr>
        <w:spacing w:after="200"/>
      </w:pPr>
    </w:p>
    <w:p>
      <w:r>
        <w:br w:type="page"/>
      </w:r>
    </w:p>
    <w:p>
      <w:pPr>
        <w:pStyle w:val="Heading1"/>
      </w:pPr>
      <w:r>
        <w:t xml:space="preserve">7. Option Lifecycle</w:t>
      </w:r>
    </w:p>
    <w:p>
      <w:pPr>
        <w:spacing w:after="160"/>
      </w:pPr>
      <w:r>
        <w:rPr>
          <w:rFonts w:ascii="Arial" w:cs="Arial" w:eastAsia="Arial" w:hAnsi="Arial"/>
          <w:color w:val="2D2D2D"/>
          <w:sz w:val="22"/>
          <w:szCs w:val="22"/>
        </w:rPr>
        <w:t xml:space="preserve">This section walks through the complete lifecycle of an option from creation to settlement, explaining what happens at each step in plain language.</w:t>
      </w:r>
    </w:p>
    <w:p>
      <w:pPr>
        <w:pStyle w:val="Heading2"/>
      </w:pPr>
      <w:r>
        <w:t xml:space="preserve">7.1 Step 1: Create Market</w:t>
      </w:r>
    </w:p>
    <w:p>
      <w:pPr>
        <w:spacing w:after="160"/>
      </w:pPr>
      <w:r>
        <w:rPr>
          <w:rFonts w:ascii="Arial" w:cs="Arial" w:eastAsia="Arial" w:hAnsi="Arial"/>
          <w:color w:val="2D2D2D"/>
          <w:sz w:val="22"/>
          <w:szCs w:val="22"/>
        </w:rPr>
        <w:t xml:space="preserve">Someone creates an options market by specifying the asset, strike price, expiry date, option type, and asset class. For example: “SOL $200 Call expiring April 15, asset class: crypto.” The protocol creates an OptionsMarket account on-chain and assigns it an index number.</w:t>
      </w:r>
    </w:p>
    <w:p>
      <w:pPr>
        <w:pStyle w:val="Heading2"/>
      </w:pPr>
      <w:r>
        <w:t xml:space="preserve">7.2 Step 2: Write Option</w:t>
      </w:r>
    </w:p>
    <w:p>
      <w:pPr>
        <w:spacing w:after="160"/>
      </w:pPr>
      <w:r>
        <w:rPr>
          <w:rFonts w:ascii="Arial" w:cs="Arial" w:eastAsia="Arial" w:hAnsi="Arial"/>
          <w:color w:val="2D2D2D"/>
          <w:sz w:val="22"/>
          <w:szCs w:val="22"/>
        </w:rPr>
        <w:t xml:space="preserve">A seller (the “writer”) decides to write options against this market. They lock USDC collateral in an isolated escrow and the protocol mints Living Option Tokens. The write_option instruction performs multiple operations atomically: it creates the Token-2022 mint with all three extensions, writes the full financial terms into the token’s metadata, creates the hook state for expiry enforcement, and mints tokens into the purchase escrow.</w:t>
      </w:r>
    </w:p>
    <w:p>
      <w:pPr>
        <w:pStyle w:val="Heading2"/>
      </w:pPr>
      <w:r>
        <w:t xml:space="preserve">7.3 Step 3: Purchase Option</w:t>
      </w:r>
    </w:p>
    <w:p>
      <w:pPr>
        <w:spacing w:after="160"/>
      </w:pPr>
      <w:r>
        <w:rPr>
          <w:rFonts w:ascii="Arial" w:cs="Arial" w:eastAsia="Arial" w:hAnsi="Arial"/>
          <w:color w:val="2D2D2D"/>
          <w:sz w:val="22"/>
          <w:szCs w:val="22"/>
        </w:rPr>
        <w:t xml:space="preserve">A buyer pays the premium in USDC and receives option tokens from the purchase escrow. The premium is split between the writer (99.5%) and the protocol treasury (0.5%). Partial fills are supported — a buyer can purchase any quantity of available tokens.</w:t>
      </w:r>
    </w:p>
    <w:p>
      <w:pPr>
        <w:pStyle w:val="Heading2"/>
      </w:pPr>
      <w:r>
        <w:t xml:space="preserve">7.4 Step 4: Secondary Trading</w:t>
      </w:r>
    </w:p>
    <w:p>
      <w:pPr>
        <w:spacing w:after="160"/>
      </w:pPr>
      <w:r>
        <w:rPr>
          <w:rFonts w:ascii="Arial" w:cs="Arial" w:eastAsia="Arial" w:hAnsi="Arial"/>
          <w:color w:val="2D2D2D"/>
          <w:sz w:val="22"/>
          <w:szCs w:val="22"/>
        </w:rPr>
        <w:t xml:space="preserve">At any time before expiry, a token holder can list their tokens for resale on the built-in P2P marketplace. They set their own price. Other users can buy from these listings with partial fills. The transfer hook allows all pre-expiry transfers but blocks post-expiry transfers automatically.</w:t>
      </w:r>
    </w:p>
    <w:p>
      <w:pPr>
        <w:pStyle w:val="Heading2"/>
      </w:pPr>
      <w:r>
        <w:t xml:space="preserve">7.5 Step 5: Settlement</w:t>
      </w:r>
    </w:p>
    <w:p>
      <w:pPr>
        <w:spacing w:after="160"/>
      </w:pPr>
      <w:r>
        <w:rPr>
          <w:rFonts w:ascii="Arial" w:cs="Arial" w:eastAsia="Arial" w:hAnsi="Arial"/>
          <w:color w:val="2D2D2D"/>
          <w:sz w:val="22"/>
          <w:szCs w:val="22"/>
        </w:rPr>
        <w:t xml:space="preserve">After the expiry timestamp passes, the admin calls settle_market with the final settlement price from Pyth. This determines whether each option is in-the-money (profitable) or out-of-the-money (worthless). In production, this will be automated by a crank bot that reads the Pyth oracle.</w:t>
      </w:r>
    </w:p>
    <w:p>
      <w:pPr>
        <w:pStyle w:val="Heading2"/>
      </w:pPr>
      <w:r>
        <w:t xml:space="preserve">7.6 Step 6: Exercise or Expire</w:t>
      </w:r>
    </w:p>
    <w:p>
      <w:pPr>
        <w:spacing w:after="160"/>
      </w:pPr>
      <w:r>
        <w:rPr>
          <w:rFonts w:ascii="Arial" w:cs="Arial" w:eastAsia="Arial" w:hAnsi="Arial"/>
          <w:color w:val="2D2D2D"/>
          <w:sz w:val="22"/>
          <w:szCs w:val="22"/>
        </w:rPr>
        <w:t xml:space="preserve">Token holders burn their tokens and receive their proportional payout. For a call: payout per token = max(0, settlement_price – strike_price). For a put: payout per token = max(0, strike_price – settlement_price). If the option is out-of-the-money, the payout is zero and the writer’s full collateral is returned via expire_option. The permanent delegate allows the protocol to burn tokens during exercise without requiring the holder’s explicit approval for each burn.</w:t>
      </w:r>
    </w:p>
    <w:p>
      <w:r>
        <w:br w:type="page"/>
      </w:r>
    </w:p>
    <w:p>
      <w:pPr>
        <w:pStyle w:val="Heading1"/>
      </w:pPr>
      <w:r>
        <w:t xml:space="preserve">8. CPI Composability</w:t>
      </w:r>
    </w:p>
    <w:p>
      <w:pPr>
        <w:spacing w:after="160"/>
      </w:pPr>
      <w:r>
        <w:rPr>
          <w:rFonts w:ascii="Arial" w:cs="Arial" w:eastAsia="Arial" w:hAnsi="Arial"/>
          <w:color w:val="2D2D2D"/>
          <w:sz w:val="22"/>
          <w:szCs w:val="22"/>
        </w:rPr>
        <w:t xml:space="preserve">CPI stands for Cross-Program Invocation. It means “your program calls our program.” This is how protocols on Solana talk to each other. Butter Options is designed to be called by other programs, not just by wallets directly.</w:t>
      </w:r>
    </w:p>
    <w:p>
      <w:pPr>
        <w:pStyle w:val="Heading2"/>
      </w:pPr>
      <w:r>
        <w:t xml:space="preserve">8.1 Why CPI Matters</w:t>
      </w:r>
    </w:p>
    <w:p>
      <w:pPr>
        <w:spacing w:after="160"/>
      </w:pPr>
      <w:r>
        <w:rPr>
          <w:rFonts w:ascii="Arial" w:cs="Arial" w:eastAsia="Arial" w:hAnsi="Arial"/>
          <w:color w:val="2D2D2D"/>
          <w:sz w:val="22"/>
          <w:szCs w:val="22"/>
        </w:rPr>
        <w:t xml:space="preserve">A perpetuals platform like Jupiter Perps could integrate Butter Options to offer their traders one-click hedging. A lending protocol could accept Butter option tokens as collateral (because they are real SPL tokens with known terms). A structured product vault could write options automatically to generate yield. A DAO treasury could buy puts for downside protection. None of these integrations require Butter’s permission or involvement — any program on Solana can call Butter’s instructions via CPI.</w:t>
      </w:r>
    </w:p>
    <w:p>
      <w:pPr>
        <w:pStyle w:val="Heading2"/>
      </w:pPr>
      <w:r>
        <w:t xml:space="preserve">8.2 Available CPI Instructions</w:t>
      </w:r>
    </w:p>
    <w:p>
      <w:pPr>
        <w:spacing w:after="160"/>
      </w:pPr>
      <w:r>
        <w:rPr>
          <w:rFonts w:ascii="Arial" w:cs="Arial" w:eastAsia="Arial" w:hAnsi="Arial"/>
          <w:color w:val="2D2D2D"/>
          <w:sz w:val="22"/>
          <w:szCs w:val="22"/>
        </w:rPr>
        <w:t xml:space="preserve">All 11 instructions are callable via CPI. The most commonly used for integrations would be create_market (to create custom markets), write_option (to automatically write options from a vault), purchase_option (to buy options programmatically), and exercise_option (to settle and claim payouts). Full CPI documentation with Rust code examples is available in the cpi-examples directory of the repository.</w:t>
      </w:r>
    </w:p>
    <w:p>
      <w:pPr>
        <w:pStyle w:val="Heading2"/>
      </w:pPr>
      <w:r>
        <w:t xml:space="preserve">8.3 The AI Agent Angle</w:t>
      </w:r>
    </w:p>
    <w:p>
      <w:pPr>
        <w:spacing w:after="160"/>
      </w:pPr>
      <w:r>
        <w:rPr>
          <w:rFonts w:ascii="Arial" w:cs="Arial" w:eastAsia="Arial" w:hAnsi="Arial"/>
          <w:color w:val="2D2D2D"/>
          <w:sz w:val="22"/>
          <w:szCs w:val="22"/>
        </w:rPr>
        <w:t xml:space="preserve">Because the Living Option Token carries its full financial terms in on-chain metadata, AI trading agents can read and price options without any custom integration. An agent can fetch all option token mints, read their metadata to understand the terms, query the Pyth oracle for the current price, compute fair value using Black-Scholes, and execute trades — all using standard Solana RPC calls. The token is the API.</w:t>
      </w:r>
    </w:p>
    <w:p>
      <w:r>
        <w:br w:type="page"/>
      </w:r>
    </w:p>
    <w:p>
      <w:pPr>
        <w:pStyle w:val="Heading1"/>
      </w:pPr>
      <w:r>
        <w:t xml:space="preserve">9. Fee Structure</w:t>
      </w:r>
    </w:p>
    <w:p>
      <w:pPr>
        <w:spacing w:after="160"/>
      </w:pPr>
      <w:r>
        <w:rPr>
          <w:rFonts w:ascii="Arial" w:cs="Arial" w:eastAsia="Arial" w:hAnsi="Arial"/>
          <w:color w:val="2D2D2D"/>
          <w:sz w:val="22"/>
          <w:szCs w:val="22"/>
        </w:rPr>
        <w:t xml:space="preserve">Butter Options charges a simple 0.5% (50 basis points) fee on all trades. This fee is deducted from the premium payment and sent to the protocol treasury.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Fee</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 Pays</w:t>
            </w:r>
          </w:p>
        </w:tc>
        <w:tc>
          <w:tcPr>
            <w:tcW w:type="dxa" w:w="2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Primary purchase (purchase_option)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0.5% of premium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Buyer (deducted from premium)</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Protocol treasury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Resale purchase (buy_resale)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0.5% of resale price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Buyer (deducted from price)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Protocol treasury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Writing an option (write_option)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No fee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Exercising (exercise_option)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No fee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Cancellation (cancel_option)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No fee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N/A</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N/A</w:t>
            </w:r>
          </w:p>
        </w:tc>
      </w:tr>
    </w:tbl>
    <w:p>
      <w:pPr>
        <w:spacing w:after="200"/>
      </w:pPr>
    </w:p>
    <w:p>
      <w:pPr>
        <w:spacing w:after="160"/>
      </w:pPr>
      <w:r>
        <w:rPr>
          <w:rFonts w:ascii="Arial" w:cs="Arial" w:eastAsia="Arial" w:hAnsi="Arial"/>
          <w:color w:val="2D2D2D"/>
          <w:sz w:val="22"/>
          <w:szCs w:val="22"/>
        </w:rPr>
        <w:t xml:space="preserve">The fee rate is stored in the ProtocolState account and can be updated by the admin. The treasury address is also configurable. This allows the protocol to adjust fees as the market matures — potentially lowering fees to attract volume or introducing tiered fee structures for high-volume traders.</w:t>
      </w:r>
    </w:p>
    <w:p>
      <w:pPr>
        <w:pStyle w:val="Heading1"/>
      </w:pPr>
      <w:r>
        <w:t xml:space="preserve">10. Technical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Blockchain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Solana (devnet, targeting mainnet)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Smart Contract Framework</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Anchor 0.32.1 (Rust)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 Standard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SPL Token-2022 with TransferHook, PermanentDelegate, and MetadataExtension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Rust Version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1.89.0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Solana CLI</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2.3.0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SPL Token-2022 Library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v8.0.1</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Oracle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Pyth Network (price feeds for all supported assets)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Collateral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USDC (SPL Token, standard program — NOT Token-2022)</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React + TypeScript + Tailwind CSS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Development Tool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Claude Code (entire protocol built with AI assistance)</w:t>
            </w:r>
          </w:p>
        </w:tc>
      </w:tr>
    </w:tbl>
    <w:p>
      <w:pPr>
        <w:spacing w:after="200"/>
      </w:pPr>
    </w:p>
    <w:p>
      <w:pPr>
        <w:pStyle w:val="Heading1"/>
      </w:pPr>
      <w:r>
        <w:t xml:space="preserve">11. Test Coverage</w:t>
      </w:r>
    </w:p>
    <w:p>
      <w:pPr>
        <w:spacing w:after="160"/>
      </w:pPr>
      <w:r>
        <w:rPr>
          <w:rFonts w:ascii="Arial" w:cs="Arial" w:eastAsia="Arial" w:hAnsi="Arial"/>
          <w:color w:val="2D2D2D"/>
          <w:sz w:val="22"/>
          <w:szCs w:val="22"/>
        </w:rPr>
        <w:t xml:space="preserve">The protocol has 27 passing tests covering every instruction and edge case. All tests run against a local Solana validator using Anchor’s testing framework.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 Group</w:t>
            </w:r>
          </w:p>
        </w:tc>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initialize_protocol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Happy path setup and double-initialization prevention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create_market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Market creation and parameter validation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write_option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3</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Call writing, put writing, and insufficient collateral rejection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purchase_option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Premium split verification and partial fill mechanics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cancel_option</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Pre-sale cancellation and post-sale cancellation blocking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Post-expiry suite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Settlement (ITM call, OTM call, ITM put), exercise payout math, and expire collateral return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Resale market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List for resale + buy from resale flow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Partial fills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3</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Multiple buyers purchasing from same position, partial quantity support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Token-2022 extensions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4</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Transfer hook blocks expired transfers, allows pre-expiry transfers, metadata correctness, permanent delegate verification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Token-2022 smoke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Extension initialization and mint creation sanity checks</w:t>
            </w:r>
          </w:p>
        </w:tc>
      </w:tr>
    </w:tbl>
    <w:p>
      <w:pPr>
        <w:spacing w:after="200"/>
      </w:pPr>
    </w:p>
    <w:p>
      <w:r>
        <w:br w:type="page"/>
      </w:r>
    </w:p>
    <w:p>
      <w:pPr>
        <w:pStyle w:val="Heading1"/>
      </w:pPr>
      <w:r>
        <w:t xml:space="preserve">12.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1</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Core protocol: 11 instructions, isolated escrow, tokenized positions, P2P resale marketplace, 0.5% fees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Complete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1.5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Living Option Token: Token-2022 migration with transfer hook, permanent delegate, metadata extensions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Complete (27/27 tests)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2</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Permissionless asset support, asset-class-aware pricing profiles, Black-Scholes improvements, CPI documentation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Complete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2.5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Devnet deployment, frontend integration, demo video, Colosseum hackathon submission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In Progress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Protocol-managed vaults with 5-layer protection, automated market making, realized volatility engine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Designed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4</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Mainnet launch, security audit, institutional integrations, structured products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Planned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Phase 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Cross-chain expansion, governance token, advanced options (spreads, straddles), AI agent marketplace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Vision</w:t>
            </w:r>
          </w:p>
        </w:tc>
      </w:tr>
    </w:tbl>
    <w:p>
      <w:pPr>
        <w:spacing w:after="200"/>
      </w:pPr>
    </w:p>
    <w:p>
      <w:pPr>
        <w:pStyle w:val="Heading1"/>
      </w:pPr>
      <w:r>
        <w:t xml:space="preserve">13. How It Was Built</w:t>
      </w:r>
    </w:p>
    <w:p>
      <w:pPr>
        <w:spacing w:after="160"/>
      </w:pPr>
      <w:r>
        <w:rPr>
          <w:rFonts w:ascii="Arial" w:cs="Arial" w:eastAsia="Arial" w:hAnsi="Arial"/>
          <w:color w:val="2D2D2D"/>
          <w:sz w:val="22"/>
          <w:szCs w:val="22"/>
        </w:rPr>
        <w:t xml:space="preserve">Butter Options was built entirely using Claude Code with no traditional development team. The core smart contract, all 11 instructions, the transfer hook program, the frontend, the pricing engine, and this documentation were all produced through AI-assisted development. The team consists of three people: Nanko (architect and product lead), his wife (UI/UX design), and Claude Code (implementation).</w:t>
      </w:r>
    </w:p>
    <w:p>
      <w:pPr>
        <w:spacing w:after="160"/>
      </w:pPr>
      <w:r>
        <w:rPr>
          <w:rFonts w:ascii="Arial" w:cs="Arial" w:eastAsia="Arial" w:hAnsi="Arial"/>
          <w:color w:val="2D2D2D"/>
          <w:sz w:val="22"/>
          <w:szCs w:val="22"/>
        </w:rPr>
        <w:t xml:space="preserve">This is not mentioned as a novelty or a gimmick. It is mentioned because it demonstrates the velocity that AI-assisted development enables. The entire protocol — from first line of code to 27 passing tests on devnet — was built in days, not months. This velocity will be maintained through mainnet launch and beyond.</w:t>
      </w:r>
    </w:p>
    <w:p>
      <w:pPr>
        <w:pStyle w:val="Heading1"/>
      </w:pPr>
      <w:r>
        <w:t xml:space="preserve">14. Links and Resources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GitHub Repository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github.com/nankolib/butter_options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Main Program ID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CtzJ4MJYX6BFvF4g67i5C24tQuwRn6ddKkaE5L84z9Cq</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Transfer Hook Program ID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83EW6a9o9P5CmGUkQKvVZvsz6v6Dgztiw5M4tVjfZMAG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Solana Explorer (devnet)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explorer.solana.com/address/CtzJ4MJYX6BFvF4g67i5C24tQuwRn6ddKkaE5L84z9Cq?cluster=devnet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CPI Integration Examples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github.com/nankolib/butter_options/tree/master/cpi-examples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Pyth Network Oracles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pyth.network</w:t>
            </w:r>
          </w:p>
        </w:tc>
      </w:tr>
    </w:tbl>
    <w:p>
      <w:pPr>
        <w:spacing w:after="200"/>
      </w:pPr>
    </w:p>
    <w:p>
      <w:pPr>
        <w:spacing w:after="200"/>
      </w:pPr>
    </w:p>
    <w:p>
      <w:pPr>
        <w:spacing w:before="400"/>
        <w:jc w:val="center"/>
      </w:pPr>
      <w:r>
        <w:rPr>
          <w:rFonts w:ascii="Arial" w:cs="Arial" w:eastAsia="Arial" w:hAnsi="Arial"/>
          <w:i/>
          <w:iCs/>
          <w:color w:val="6B7280"/>
          <w:sz w:val="20"/>
          <w:szCs w:val="20"/>
        </w:rPr>
        <w:t xml:space="preserve">— End of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space="4"/>
      </w:pBdr>
      <w:jc w:val="right"/>
    </w:pPr>
    <w:r>
      <w:rPr>
        <w:rFonts w:ascii="Arial" w:cs="Arial" w:eastAsia="Arial" w:hAnsi="Arial"/>
        <w:color w:val="6B7280"/>
        <w:sz w:val="16"/>
        <w:szCs w:val="16"/>
      </w:rPr>
      <w:t xml:space="preserve">Butter Options  —  Protocol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2026-04-05T21:07:59.335Z</dcterms:created>
  <dcterms:modified xsi:type="dcterms:W3CDTF">2026-04-05T21:07:59.337Z</dcterms:modified>
</cp:coreProperties>
</file>

<file path=docProps/custom.xml><?xml version="1.0" encoding="utf-8"?>
<Properties xmlns="http://schemas.openxmlformats.org/officeDocument/2006/custom-properties" xmlns:vt="http://schemas.openxmlformats.org/officeDocument/2006/docPropsVTypes"/>
</file>