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05F586" w14:textId="77777777" w:rsidR="008B10C5" w:rsidRDefault="00000000">
      <w:pPr>
        <w:spacing w:after="193" w:line="259" w:lineRule="auto"/>
        <w:ind w:left="12" w:firstLine="0"/>
        <w:jc w:val="center"/>
      </w:pPr>
      <w:r>
        <w:rPr>
          <w:b/>
          <w:sz w:val="36"/>
        </w:rPr>
        <w:t>ADR Identification Basics</w:t>
      </w:r>
    </w:p>
    <w:p w14:paraId="20A8D65D" w14:textId="77777777" w:rsidR="008B10C5" w:rsidRDefault="00000000">
      <w:pPr>
        <w:spacing w:after="42" w:line="259" w:lineRule="auto"/>
        <w:ind w:left="0" w:firstLine="0"/>
      </w:pPr>
      <w:r>
        <w:rPr>
          <w:b/>
          <w:sz w:val="28"/>
        </w:rPr>
        <w:t>Pharmacovigilance Task 1</w:t>
      </w:r>
    </w:p>
    <w:p w14:paraId="0834766A" w14:textId="77777777" w:rsidR="008B10C5" w:rsidRDefault="00000000">
      <w:pPr>
        <w:ind w:left="-5"/>
      </w:pPr>
      <w:r>
        <w:rPr>
          <w:b/>
        </w:rPr>
        <w:t>Purpose:</w:t>
      </w:r>
      <w:r>
        <w:t xml:space="preserve"> To identify a possible adverse drug reaction (ADR) by reviewing the patient’s symptoms, medication history, and timeline.</w:t>
      </w:r>
    </w:p>
    <w:p w14:paraId="5FAF6C7D" w14:textId="77777777" w:rsidR="008B10C5" w:rsidRDefault="00000000">
      <w:pPr>
        <w:pStyle w:val="Heading1"/>
        <w:numPr>
          <w:ilvl w:val="0"/>
          <w:numId w:val="0"/>
        </w:numPr>
        <w:ind w:left="-5"/>
      </w:pPr>
      <w:r>
        <w:t>Important note</w:t>
      </w:r>
    </w:p>
    <w:p w14:paraId="67E1E926" w14:textId="77777777" w:rsidR="008B10C5" w:rsidRPr="002D31EC" w:rsidRDefault="00000000">
      <w:pPr>
        <w:spacing w:after="270" w:line="270" w:lineRule="auto"/>
        <w:ind w:left="-5"/>
        <w:rPr>
          <w:color w:val="auto"/>
        </w:rPr>
      </w:pPr>
      <w:r w:rsidRPr="002D31EC">
        <w:rPr>
          <w:color w:val="auto"/>
          <w:sz w:val="17"/>
        </w:rPr>
        <w:t>The portal screenshot did not include the actual patient case scenarios. The following is an illustrative practice case created to demonstrate the method; it is not a real patient report and should not be presented as an actual case supplied by VirtualWorks Lab.</w:t>
      </w:r>
    </w:p>
    <w:p w14:paraId="60BA4CAA" w14:textId="77777777" w:rsidR="008B10C5" w:rsidRDefault="00000000">
      <w:pPr>
        <w:pStyle w:val="Heading1"/>
        <w:ind w:left="252" w:hanging="267"/>
      </w:pPr>
      <w:r>
        <w:t>Illustrative patient case</w:t>
      </w:r>
    </w:p>
    <w:p w14:paraId="661C0B3E" w14:textId="77777777" w:rsidR="008B10C5" w:rsidRDefault="00000000">
      <w:pPr>
        <w:ind w:left="-5"/>
      </w:pPr>
      <w:r>
        <w:t>A 45-year-old adult begins taking amoxicillin prescribed for a suspected bacterial infection. Approximately 45 minutes after the first dose, the patient develops an itchy raised rash (hives) and swelling of the lips. No other new medicines or foods are reported in the scenario. The patient seeks urgent medical assessment.</w:t>
      </w:r>
    </w:p>
    <w:p w14:paraId="5CE84288" w14:textId="77777777" w:rsidR="008B10C5" w:rsidRDefault="00000000">
      <w:pPr>
        <w:pStyle w:val="Heading1"/>
        <w:spacing w:after="0"/>
        <w:ind w:left="252" w:hanging="267"/>
      </w:pPr>
      <w:r>
        <w:t>ADR assessment</w:t>
      </w:r>
    </w:p>
    <w:tbl>
      <w:tblPr>
        <w:tblStyle w:val="TableGrid"/>
        <w:tblW w:w="9241" w:type="dxa"/>
        <w:tblInd w:w="249" w:type="dxa"/>
        <w:tblCellMar>
          <w:top w:w="0" w:type="dxa"/>
          <w:left w:w="120" w:type="dxa"/>
          <w:bottom w:w="0" w:type="dxa"/>
          <w:right w:w="0" w:type="dxa"/>
        </w:tblCellMar>
        <w:tblLook w:val="04A0" w:firstRow="1" w:lastRow="0" w:firstColumn="1" w:lastColumn="0" w:noHBand="0" w:noVBand="1"/>
      </w:tblPr>
      <w:tblGrid>
        <w:gridCol w:w="2324"/>
        <w:gridCol w:w="6917"/>
      </w:tblGrid>
      <w:tr w:rsidR="008B10C5" w14:paraId="5FFFE8C4" w14:textId="77777777">
        <w:trPr>
          <w:trHeight w:val="420"/>
        </w:trPr>
        <w:tc>
          <w:tcPr>
            <w:tcW w:w="2324" w:type="dxa"/>
            <w:tcBorders>
              <w:top w:val="single" w:sz="4" w:space="0" w:color="777777"/>
              <w:left w:val="single" w:sz="4" w:space="0" w:color="777777"/>
              <w:bottom w:val="single" w:sz="4" w:space="0" w:color="777777"/>
              <w:right w:val="single" w:sz="4" w:space="0" w:color="777777"/>
            </w:tcBorders>
            <w:shd w:val="clear" w:color="auto" w:fill="F5D14F"/>
            <w:vAlign w:val="center"/>
          </w:tcPr>
          <w:p w14:paraId="554D42A8" w14:textId="77777777" w:rsidR="008B10C5" w:rsidRDefault="00000000">
            <w:pPr>
              <w:spacing w:after="0" w:line="259" w:lineRule="auto"/>
              <w:ind w:left="0" w:firstLine="0"/>
            </w:pPr>
            <w:r>
              <w:rPr>
                <w:b/>
                <w:sz w:val="17"/>
              </w:rPr>
              <w:t>Assessment item</w:t>
            </w:r>
          </w:p>
        </w:tc>
        <w:tc>
          <w:tcPr>
            <w:tcW w:w="6917" w:type="dxa"/>
            <w:tcBorders>
              <w:top w:val="single" w:sz="4" w:space="0" w:color="777777"/>
              <w:left w:val="single" w:sz="4" w:space="0" w:color="777777"/>
              <w:bottom w:val="single" w:sz="4" w:space="0" w:color="777777"/>
              <w:right w:val="single" w:sz="4" w:space="0" w:color="777777"/>
            </w:tcBorders>
            <w:shd w:val="clear" w:color="auto" w:fill="F5D14F"/>
            <w:vAlign w:val="center"/>
          </w:tcPr>
          <w:p w14:paraId="10030C6A" w14:textId="77777777" w:rsidR="008B10C5" w:rsidRDefault="00000000">
            <w:pPr>
              <w:spacing w:after="0" w:line="259" w:lineRule="auto"/>
              <w:ind w:left="0" w:firstLine="0"/>
            </w:pPr>
            <w:r>
              <w:rPr>
                <w:b/>
                <w:sz w:val="17"/>
              </w:rPr>
              <w:t>Finding</w:t>
            </w:r>
          </w:p>
        </w:tc>
      </w:tr>
      <w:tr w:rsidR="008B10C5" w14:paraId="58434CBB" w14:textId="77777777">
        <w:trPr>
          <w:trHeight w:val="420"/>
        </w:trPr>
        <w:tc>
          <w:tcPr>
            <w:tcW w:w="2324" w:type="dxa"/>
            <w:tcBorders>
              <w:top w:val="single" w:sz="4" w:space="0" w:color="777777"/>
              <w:left w:val="single" w:sz="4" w:space="0" w:color="777777"/>
              <w:bottom w:val="single" w:sz="4" w:space="0" w:color="777777"/>
              <w:right w:val="single" w:sz="4" w:space="0" w:color="777777"/>
            </w:tcBorders>
            <w:vAlign w:val="center"/>
          </w:tcPr>
          <w:p w14:paraId="7791921F" w14:textId="77777777" w:rsidR="008B10C5" w:rsidRDefault="00000000">
            <w:pPr>
              <w:spacing w:after="0" w:line="259" w:lineRule="auto"/>
              <w:ind w:left="0" w:firstLine="0"/>
            </w:pPr>
            <w:r>
              <w:rPr>
                <w:sz w:val="17"/>
              </w:rPr>
              <w:t>Suspected medicine</w:t>
            </w:r>
          </w:p>
        </w:tc>
        <w:tc>
          <w:tcPr>
            <w:tcW w:w="6917" w:type="dxa"/>
            <w:tcBorders>
              <w:top w:val="single" w:sz="4" w:space="0" w:color="777777"/>
              <w:left w:val="single" w:sz="4" w:space="0" w:color="777777"/>
              <w:bottom w:val="single" w:sz="4" w:space="0" w:color="777777"/>
              <w:right w:val="single" w:sz="4" w:space="0" w:color="777777"/>
            </w:tcBorders>
            <w:vAlign w:val="center"/>
          </w:tcPr>
          <w:p w14:paraId="269FB72F" w14:textId="77777777" w:rsidR="008B10C5" w:rsidRDefault="00000000">
            <w:pPr>
              <w:spacing w:after="0" w:line="259" w:lineRule="auto"/>
              <w:ind w:left="0" w:firstLine="0"/>
            </w:pPr>
            <w:r>
              <w:rPr>
                <w:sz w:val="17"/>
              </w:rPr>
              <w:t>Amoxicillin</w:t>
            </w:r>
          </w:p>
        </w:tc>
      </w:tr>
      <w:tr w:rsidR="008B10C5" w14:paraId="6BFAB743" w14:textId="77777777">
        <w:trPr>
          <w:trHeight w:val="420"/>
        </w:trPr>
        <w:tc>
          <w:tcPr>
            <w:tcW w:w="2324" w:type="dxa"/>
            <w:tcBorders>
              <w:top w:val="single" w:sz="4" w:space="0" w:color="777777"/>
              <w:left w:val="single" w:sz="4" w:space="0" w:color="777777"/>
              <w:bottom w:val="single" w:sz="4" w:space="0" w:color="777777"/>
              <w:right w:val="single" w:sz="4" w:space="0" w:color="777777"/>
            </w:tcBorders>
            <w:vAlign w:val="center"/>
          </w:tcPr>
          <w:p w14:paraId="28E386CA" w14:textId="77777777" w:rsidR="008B10C5" w:rsidRDefault="00000000">
            <w:pPr>
              <w:spacing w:after="0" w:line="259" w:lineRule="auto"/>
              <w:ind w:left="0" w:firstLine="0"/>
            </w:pPr>
            <w:r>
              <w:rPr>
                <w:sz w:val="17"/>
              </w:rPr>
              <w:t>Reported reaction</w:t>
            </w:r>
          </w:p>
        </w:tc>
        <w:tc>
          <w:tcPr>
            <w:tcW w:w="6917" w:type="dxa"/>
            <w:tcBorders>
              <w:top w:val="single" w:sz="4" w:space="0" w:color="777777"/>
              <w:left w:val="single" w:sz="4" w:space="0" w:color="777777"/>
              <w:bottom w:val="single" w:sz="4" w:space="0" w:color="777777"/>
              <w:right w:val="single" w:sz="4" w:space="0" w:color="777777"/>
            </w:tcBorders>
            <w:vAlign w:val="center"/>
          </w:tcPr>
          <w:p w14:paraId="3BB6B997" w14:textId="77777777" w:rsidR="008B10C5" w:rsidRDefault="00000000">
            <w:pPr>
              <w:spacing w:after="0" w:line="259" w:lineRule="auto"/>
              <w:ind w:left="0" w:firstLine="0"/>
            </w:pPr>
            <w:r>
              <w:rPr>
                <w:sz w:val="17"/>
              </w:rPr>
              <w:t>Hives (urticaria) and lip swelling</w:t>
            </w:r>
          </w:p>
        </w:tc>
      </w:tr>
      <w:tr w:rsidR="008B10C5" w14:paraId="402A3E6D" w14:textId="77777777">
        <w:trPr>
          <w:trHeight w:val="420"/>
        </w:trPr>
        <w:tc>
          <w:tcPr>
            <w:tcW w:w="2324" w:type="dxa"/>
            <w:tcBorders>
              <w:top w:val="single" w:sz="4" w:space="0" w:color="777777"/>
              <w:left w:val="single" w:sz="4" w:space="0" w:color="777777"/>
              <w:bottom w:val="single" w:sz="4" w:space="0" w:color="777777"/>
              <w:right w:val="single" w:sz="4" w:space="0" w:color="777777"/>
            </w:tcBorders>
            <w:vAlign w:val="center"/>
          </w:tcPr>
          <w:p w14:paraId="0C556447" w14:textId="77777777" w:rsidR="008B10C5" w:rsidRDefault="00000000">
            <w:pPr>
              <w:spacing w:after="0" w:line="259" w:lineRule="auto"/>
              <w:ind w:left="0" w:firstLine="0"/>
            </w:pPr>
            <w:r>
              <w:rPr>
                <w:sz w:val="17"/>
              </w:rPr>
              <w:t>Timing</w:t>
            </w:r>
          </w:p>
        </w:tc>
        <w:tc>
          <w:tcPr>
            <w:tcW w:w="6917" w:type="dxa"/>
            <w:tcBorders>
              <w:top w:val="single" w:sz="4" w:space="0" w:color="777777"/>
              <w:left w:val="single" w:sz="4" w:space="0" w:color="777777"/>
              <w:bottom w:val="single" w:sz="4" w:space="0" w:color="777777"/>
              <w:right w:val="single" w:sz="4" w:space="0" w:color="777777"/>
            </w:tcBorders>
            <w:vAlign w:val="center"/>
          </w:tcPr>
          <w:p w14:paraId="42F4B0AA" w14:textId="77777777" w:rsidR="008B10C5" w:rsidRDefault="00000000">
            <w:pPr>
              <w:spacing w:after="0" w:line="259" w:lineRule="auto"/>
              <w:ind w:left="0" w:firstLine="0"/>
            </w:pPr>
            <w:r>
              <w:rPr>
                <w:sz w:val="17"/>
              </w:rPr>
              <w:t>Symptoms began about 45 minutes after the first dose</w:t>
            </w:r>
          </w:p>
        </w:tc>
      </w:tr>
      <w:tr w:rsidR="008B10C5" w14:paraId="1B59779A" w14:textId="77777777">
        <w:trPr>
          <w:trHeight w:val="420"/>
        </w:trPr>
        <w:tc>
          <w:tcPr>
            <w:tcW w:w="2324" w:type="dxa"/>
            <w:tcBorders>
              <w:top w:val="single" w:sz="4" w:space="0" w:color="777777"/>
              <w:left w:val="single" w:sz="4" w:space="0" w:color="777777"/>
              <w:bottom w:val="single" w:sz="4" w:space="0" w:color="777777"/>
              <w:right w:val="single" w:sz="4" w:space="0" w:color="777777"/>
            </w:tcBorders>
            <w:vAlign w:val="center"/>
          </w:tcPr>
          <w:p w14:paraId="2FA9BF2E" w14:textId="77777777" w:rsidR="008B10C5" w:rsidRDefault="00000000">
            <w:pPr>
              <w:spacing w:after="0" w:line="259" w:lineRule="auto"/>
              <w:ind w:left="0" w:firstLine="0"/>
            </w:pPr>
            <w:r>
              <w:rPr>
                <w:sz w:val="17"/>
              </w:rPr>
              <w:t>Temporal relationship</w:t>
            </w:r>
          </w:p>
        </w:tc>
        <w:tc>
          <w:tcPr>
            <w:tcW w:w="6917" w:type="dxa"/>
            <w:tcBorders>
              <w:top w:val="single" w:sz="4" w:space="0" w:color="777777"/>
              <w:left w:val="single" w:sz="4" w:space="0" w:color="777777"/>
              <w:bottom w:val="single" w:sz="4" w:space="0" w:color="777777"/>
              <w:right w:val="single" w:sz="4" w:space="0" w:color="777777"/>
            </w:tcBorders>
            <w:vAlign w:val="center"/>
          </w:tcPr>
          <w:p w14:paraId="1E180A8D" w14:textId="77777777" w:rsidR="008B10C5" w:rsidRDefault="00000000">
            <w:pPr>
              <w:spacing w:after="0" w:line="259" w:lineRule="auto"/>
              <w:ind w:left="0" w:firstLine="0"/>
            </w:pPr>
            <w:r>
              <w:rPr>
                <w:sz w:val="17"/>
              </w:rPr>
              <w:t>The short interval after dosing supports a possible association</w:t>
            </w:r>
          </w:p>
        </w:tc>
      </w:tr>
      <w:tr w:rsidR="008B10C5" w14:paraId="24C52788" w14:textId="77777777">
        <w:trPr>
          <w:trHeight w:val="420"/>
        </w:trPr>
        <w:tc>
          <w:tcPr>
            <w:tcW w:w="2324" w:type="dxa"/>
            <w:tcBorders>
              <w:top w:val="single" w:sz="4" w:space="0" w:color="777777"/>
              <w:left w:val="single" w:sz="4" w:space="0" w:color="777777"/>
              <w:bottom w:val="single" w:sz="4" w:space="0" w:color="777777"/>
              <w:right w:val="single" w:sz="4" w:space="0" w:color="777777"/>
            </w:tcBorders>
            <w:vAlign w:val="center"/>
          </w:tcPr>
          <w:p w14:paraId="524E0125" w14:textId="77777777" w:rsidR="008B10C5" w:rsidRDefault="00000000">
            <w:pPr>
              <w:spacing w:after="0" w:line="259" w:lineRule="auto"/>
              <w:ind w:left="0" w:firstLine="0"/>
            </w:pPr>
            <w:r>
              <w:rPr>
                <w:sz w:val="17"/>
              </w:rPr>
              <w:t>Alternative explanations</w:t>
            </w:r>
          </w:p>
        </w:tc>
        <w:tc>
          <w:tcPr>
            <w:tcW w:w="6917" w:type="dxa"/>
            <w:tcBorders>
              <w:top w:val="single" w:sz="4" w:space="0" w:color="777777"/>
              <w:left w:val="single" w:sz="4" w:space="0" w:color="777777"/>
              <w:bottom w:val="single" w:sz="4" w:space="0" w:color="777777"/>
              <w:right w:val="single" w:sz="4" w:space="0" w:color="777777"/>
            </w:tcBorders>
            <w:vAlign w:val="center"/>
          </w:tcPr>
          <w:p w14:paraId="158EDD1C" w14:textId="77777777" w:rsidR="008B10C5" w:rsidRDefault="00000000">
            <w:pPr>
              <w:spacing w:after="0" w:line="259" w:lineRule="auto"/>
              <w:ind w:left="0" w:right="-1377" w:firstLine="0"/>
            </w:pPr>
            <w:r>
              <w:rPr>
                <w:sz w:val="17"/>
              </w:rPr>
              <w:t>The scenario reports no other new medicines or foods, but other causes cannot be excluded from this limited</w:t>
            </w:r>
          </w:p>
        </w:tc>
      </w:tr>
      <w:tr w:rsidR="008B10C5" w14:paraId="1BF91195" w14:textId="77777777">
        <w:trPr>
          <w:trHeight w:val="420"/>
        </w:trPr>
        <w:tc>
          <w:tcPr>
            <w:tcW w:w="2324" w:type="dxa"/>
            <w:tcBorders>
              <w:top w:val="single" w:sz="4" w:space="0" w:color="777777"/>
              <w:left w:val="single" w:sz="4" w:space="0" w:color="777777"/>
              <w:bottom w:val="single" w:sz="4" w:space="0" w:color="777777"/>
              <w:right w:val="single" w:sz="4" w:space="0" w:color="777777"/>
            </w:tcBorders>
            <w:vAlign w:val="center"/>
          </w:tcPr>
          <w:p w14:paraId="3A8A5443" w14:textId="77777777" w:rsidR="008B10C5" w:rsidRDefault="00000000">
            <w:pPr>
              <w:spacing w:after="0" w:line="259" w:lineRule="auto"/>
              <w:ind w:left="0" w:firstLine="0"/>
            </w:pPr>
            <w:r>
              <w:rPr>
                <w:sz w:val="17"/>
              </w:rPr>
              <w:t>Initial assessment</w:t>
            </w:r>
          </w:p>
        </w:tc>
        <w:tc>
          <w:tcPr>
            <w:tcW w:w="6917" w:type="dxa"/>
            <w:tcBorders>
              <w:top w:val="single" w:sz="4" w:space="0" w:color="777777"/>
              <w:left w:val="single" w:sz="4" w:space="0" w:color="777777"/>
              <w:bottom w:val="single" w:sz="4" w:space="0" w:color="777777"/>
              <w:right w:val="single" w:sz="4" w:space="0" w:color="777777"/>
            </w:tcBorders>
            <w:vAlign w:val="center"/>
          </w:tcPr>
          <w:p w14:paraId="67CF6F98" w14:textId="77777777" w:rsidR="008B10C5" w:rsidRDefault="00000000">
            <w:pPr>
              <w:spacing w:after="0" w:line="259" w:lineRule="auto"/>
              <w:ind w:left="0" w:firstLine="0"/>
            </w:pPr>
            <w:r>
              <w:rPr>
                <w:sz w:val="17"/>
              </w:rPr>
              <w:t>A suspected immediate hypersensitivity reaction; clinical evaluation is required</w:t>
            </w:r>
          </w:p>
        </w:tc>
      </w:tr>
    </w:tbl>
    <w:p w14:paraId="1A8E04E2" w14:textId="77777777" w:rsidR="0074582A" w:rsidRDefault="0074582A" w:rsidP="0074582A">
      <w:pPr>
        <w:pStyle w:val="Heading1"/>
        <w:numPr>
          <w:ilvl w:val="0"/>
          <w:numId w:val="0"/>
        </w:numPr>
        <w:ind w:left="252"/>
      </w:pPr>
    </w:p>
    <w:p w14:paraId="3D24422B" w14:textId="7708756E" w:rsidR="008B10C5" w:rsidRDefault="00000000">
      <w:pPr>
        <w:pStyle w:val="Heading1"/>
        <w:ind w:left="252" w:hanging="267"/>
      </w:pPr>
      <w:r>
        <w:t>Conclusion</w:t>
      </w:r>
    </w:p>
    <w:p w14:paraId="7C33BAAD" w14:textId="77777777" w:rsidR="0074582A" w:rsidRPr="0074582A" w:rsidRDefault="0074582A" w:rsidP="0074582A">
      <w:pPr>
        <w:pStyle w:val="Heading1"/>
        <w:numPr>
          <w:ilvl w:val="0"/>
          <w:numId w:val="0"/>
        </w:numPr>
        <w:ind w:left="10"/>
        <w:rPr>
          <w:b w:val="0"/>
          <w:sz w:val="19"/>
        </w:rPr>
      </w:pPr>
      <w:r w:rsidRPr="0074582A">
        <w:rPr>
          <w:b w:val="0"/>
          <w:sz w:val="19"/>
        </w:rPr>
        <w:t>Based on the information provided, amoxicillin is the suspected drug because the patient developed hives and lip swelling shortly after taking it. The timing suggests a possible relationship between the medicine and the reaction. However, this alone is not enough to confirm that amoxicillin caused the symptoms.</w:t>
      </w:r>
    </w:p>
    <w:p w14:paraId="4771F6EB" w14:textId="77777777" w:rsidR="0074582A" w:rsidRDefault="0074582A" w:rsidP="0074582A">
      <w:pPr>
        <w:pStyle w:val="Heading1"/>
        <w:numPr>
          <w:ilvl w:val="0"/>
          <w:numId w:val="0"/>
        </w:numPr>
        <w:rPr>
          <w:b w:val="0"/>
          <w:sz w:val="19"/>
        </w:rPr>
      </w:pPr>
      <w:r w:rsidRPr="0074582A">
        <w:rPr>
          <w:b w:val="0"/>
          <w:sz w:val="19"/>
        </w:rPr>
        <w:t>Since lip swelling can indicate a serious allergic reaction, the patient needs urgent medical assessment, particularly if there is difficulty breathing, throat tightness, dizziness, or worsening swelling. The patient should not take another dose until a qualified healthcare professional has assessed the reaction.</w:t>
      </w:r>
    </w:p>
    <w:p w14:paraId="60DED6AB" w14:textId="77777777" w:rsidR="0074582A" w:rsidRPr="0074582A" w:rsidRDefault="0074582A" w:rsidP="0074582A"/>
    <w:p w14:paraId="45B10F54" w14:textId="7E8ECD96" w:rsidR="008B10C5" w:rsidRDefault="00000000" w:rsidP="0074582A">
      <w:pPr>
        <w:pStyle w:val="Heading1"/>
      </w:pPr>
      <w:r>
        <w:lastRenderedPageBreak/>
        <w:t>Pharmacovigilance information to document</w:t>
      </w:r>
    </w:p>
    <w:p w14:paraId="7F4067D5" w14:textId="77777777" w:rsidR="002D31EC" w:rsidRPr="002D31EC" w:rsidRDefault="002D31EC" w:rsidP="002D31EC">
      <w:pPr>
        <w:pStyle w:val="Heading1"/>
        <w:numPr>
          <w:ilvl w:val="0"/>
          <w:numId w:val="0"/>
        </w:numPr>
        <w:ind w:left="10"/>
        <w:rPr>
          <w:b w:val="0"/>
          <w:sz w:val="19"/>
        </w:rPr>
      </w:pPr>
      <w:r w:rsidRPr="002D31EC">
        <w:rPr>
          <w:b w:val="0"/>
          <w:sz w:val="19"/>
        </w:rPr>
        <w:t>When documenting a suspected adverse drug reaction, the following information should be collected whenever available:</w:t>
      </w:r>
    </w:p>
    <w:p w14:paraId="64DC4B1E" w14:textId="77777777" w:rsidR="002D31EC" w:rsidRPr="002D31EC" w:rsidRDefault="002D31EC" w:rsidP="002D31EC">
      <w:pPr>
        <w:pStyle w:val="Heading1"/>
        <w:numPr>
          <w:ilvl w:val="0"/>
          <w:numId w:val="0"/>
        </w:numPr>
        <w:ind w:left="10"/>
        <w:rPr>
          <w:b w:val="0"/>
          <w:sz w:val="19"/>
        </w:rPr>
      </w:pPr>
    </w:p>
    <w:p w14:paraId="723A97BC" w14:textId="77777777" w:rsidR="002D31EC" w:rsidRPr="002D31EC" w:rsidRDefault="002D31EC" w:rsidP="002D31EC">
      <w:pPr>
        <w:pStyle w:val="Heading1"/>
        <w:numPr>
          <w:ilvl w:val="0"/>
          <w:numId w:val="2"/>
        </w:numPr>
        <w:rPr>
          <w:b w:val="0"/>
          <w:sz w:val="19"/>
        </w:rPr>
      </w:pPr>
      <w:r w:rsidRPr="002D31EC">
        <w:rPr>
          <w:b w:val="0"/>
          <w:sz w:val="19"/>
        </w:rPr>
        <w:t>Patient details: Relevant information about the patient, while protecting their privacy.</w:t>
      </w:r>
    </w:p>
    <w:p w14:paraId="4CDBFF55" w14:textId="77777777" w:rsidR="002D31EC" w:rsidRPr="002D31EC" w:rsidRDefault="002D31EC" w:rsidP="002D31EC">
      <w:pPr>
        <w:pStyle w:val="Heading1"/>
        <w:numPr>
          <w:ilvl w:val="0"/>
          <w:numId w:val="2"/>
        </w:numPr>
        <w:rPr>
          <w:b w:val="0"/>
          <w:sz w:val="19"/>
        </w:rPr>
      </w:pPr>
      <w:r w:rsidRPr="002D31EC">
        <w:rPr>
          <w:b w:val="0"/>
          <w:sz w:val="19"/>
        </w:rPr>
        <w:t>Medicine details: The drug's name, dose, route of administration, and the dates it was started and stopped.</w:t>
      </w:r>
    </w:p>
    <w:p w14:paraId="2EDF396B" w14:textId="77777777" w:rsidR="002D31EC" w:rsidRPr="002D31EC" w:rsidRDefault="002D31EC" w:rsidP="002D31EC">
      <w:pPr>
        <w:pStyle w:val="Heading1"/>
        <w:numPr>
          <w:ilvl w:val="0"/>
          <w:numId w:val="2"/>
        </w:numPr>
        <w:rPr>
          <w:b w:val="0"/>
          <w:sz w:val="19"/>
        </w:rPr>
      </w:pPr>
      <w:r w:rsidRPr="002D31EC">
        <w:rPr>
          <w:b w:val="0"/>
          <w:sz w:val="19"/>
        </w:rPr>
        <w:t>Reaction details: The symptoms experienced and when they first appeared.</w:t>
      </w:r>
    </w:p>
    <w:p w14:paraId="44AA9A08" w14:textId="77777777" w:rsidR="002D31EC" w:rsidRPr="002D31EC" w:rsidRDefault="002D31EC" w:rsidP="002D31EC">
      <w:pPr>
        <w:pStyle w:val="Heading1"/>
        <w:numPr>
          <w:ilvl w:val="0"/>
          <w:numId w:val="2"/>
        </w:numPr>
        <w:rPr>
          <w:b w:val="0"/>
          <w:sz w:val="19"/>
        </w:rPr>
      </w:pPr>
      <w:r w:rsidRPr="002D31EC">
        <w:rPr>
          <w:b w:val="0"/>
          <w:sz w:val="19"/>
        </w:rPr>
        <w:t>Severity and outcome: Whether the reaction was serious and what happened to the patient afterwards.</w:t>
      </w:r>
    </w:p>
    <w:p w14:paraId="5FE40EC7" w14:textId="77777777" w:rsidR="002D31EC" w:rsidRPr="002D31EC" w:rsidRDefault="002D31EC" w:rsidP="002D31EC">
      <w:pPr>
        <w:pStyle w:val="Heading1"/>
        <w:numPr>
          <w:ilvl w:val="0"/>
          <w:numId w:val="2"/>
        </w:numPr>
        <w:rPr>
          <w:b w:val="0"/>
          <w:sz w:val="19"/>
        </w:rPr>
      </w:pPr>
      <w:r w:rsidRPr="002D31EC">
        <w:rPr>
          <w:b w:val="0"/>
          <w:sz w:val="19"/>
        </w:rPr>
        <w:t>Medical history: Any existing health conditions that might be relevant to the reaction.</w:t>
      </w:r>
    </w:p>
    <w:p w14:paraId="4B17DB62" w14:textId="77777777" w:rsidR="002D31EC" w:rsidRPr="002D31EC" w:rsidRDefault="002D31EC" w:rsidP="002D31EC">
      <w:pPr>
        <w:pStyle w:val="Heading1"/>
        <w:numPr>
          <w:ilvl w:val="0"/>
          <w:numId w:val="2"/>
        </w:numPr>
        <w:rPr>
          <w:b w:val="0"/>
          <w:sz w:val="19"/>
        </w:rPr>
      </w:pPr>
      <w:r w:rsidRPr="002D31EC">
        <w:rPr>
          <w:b w:val="0"/>
          <w:sz w:val="19"/>
        </w:rPr>
        <w:t>Other medicines: Any additional medicines the patient was taking.</w:t>
      </w:r>
    </w:p>
    <w:p w14:paraId="6D481870" w14:textId="77777777" w:rsidR="002D31EC" w:rsidRPr="002D31EC" w:rsidRDefault="002D31EC" w:rsidP="002D31EC">
      <w:pPr>
        <w:pStyle w:val="Heading1"/>
        <w:numPr>
          <w:ilvl w:val="0"/>
          <w:numId w:val="2"/>
        </w:numPr>
        <w:rPr>
          <w:b w:val="0"/>
          <w:sz w:val="19"/>
        </w:rPr>
      </w:pPr>
      <w:r w:rsidRPr="002D31EC">
        <w:rPr>
          <w:b w:val="0"/>
          <w:sz w:val="19"/>
        </w:rPr>
        <w:t>Treatment provided: Any medical treatment given for the reaction.</w:t>
      </w:r>
    </w:p>
    <w:p w14:paraId="01DE78BA" w14:textId="77777777" w:rsidR="002D31EC" w:rsidRPr="002D31EC" w:rsidRDefault="002D31EC" w:rsidP="002D31EC">
      <w:pPr>
        <w:pStyle w:val="Heading1"/>
        <w:numPr>
          <w:ilvl w:val="0"/>
          <w:numId w:val="2"/>
        </w:numPr>
        <w:rPr>
          <w:b w:val="0"/>
          <w:sz w:val="19"/>
        </w:rPr>
      </w:pPr>
      <w:r w:rsidRPr="002D31EC">
        <w:rPr>
          <w:b w:val="0"/>
          <w:sz w:val="19"/>
        </w:rPr>
        <w:t>Additional information: Whether the symptoms improved after stopping the suspected medicine and any relevant clinical records.</w:t>
      </w:r>
    </w:p>
    <w:p w14:paraId="4ECA2ABF" w14:textId="77777777" w:rsidR="002D31EC" w:rsidRPr="002D31EC" w:rsidRDefault="002D31EC" w:rsidP="002D31EC">
      <w:pPr>
        <w:pStyle w:val="Heading1"/>
        <w:numPr>
          <w:ilvl w:val="0"/>
          <w:numId w:val="0"/>
        </w:numPr>
        <w:rPr>
          <w:b w:val="0"/>
          <w:sz w:val="19"/>
        </w:rPr>
      </w:pPr>
    </w:p>
    <w:p w14:paraId="52E6AA52" w14:textId="77777777" w:rsidR="002D31EC" w:rsidRDefault="002D31EC" w:rsidP="002D31EC">
      <w:pPr>
        <w:pStyle w:val="Heading1"/>
        <w:numPr>
          <w:ilvl w:val="0"/>
          <w:numId w:val="0"/>
        </w:numPr>
        <w:ind w:left="10"/>
        <w:rPr>
          <w:b w:val="0"/>
          <w:sz w:val="19"/>
        </w:rPr>
      </w:pPr>
      <w:r w:rsidRPr="002D31EC">
        <w:rPr>
          <w:b w:val="0"/>
          <w:sz w:val="19"/>
        </w:rPr>
        <w:t>Re-exposing a patient to a medicine simply to check whether the reaction happens again should not be attempted after a suspected serious allergic reaction</w:t>
      </w:r>
    </w:p>
    <w:p w14:paraId="1712A476" w14:textId="1532A4BD" w:rsidR="002D31EC" w:rsidRDefault="002D31EC" w:rsidP="002D31EC">
      <w:pPr>
        <w:pStyle w:val="Heading1"/>
        <w:numPr>
          <w:ilvl w:val="0"/>
          <w:numId w:val="0"/>
        </w:numPr>
        <w:ind w:left="10"/>
      </w:pPr>
      <w:r w:rsidRPr="002D31EC">
        <w:rPr>
          <w:b w:val="0"/>
          <w:sz w:val="19"/>
        </w:rPr>
        <w:t>.</w:t>
      </w:r>
      <w:r>
        <w:t>5. Limitations</w:t>
      </w:r>
    </w:p>
    <w:p w14:paraId="3CB99634" w14:textId="372C5FB3" w:rsidR="008B10C5" w:rsidRPr="002D31EC" w:rsidRDefault="002D31EC" w:rsidP="002D31EC">
      <w:pPr>
        <w:pStyle w:val="Heading1"/>
        <w:numPr>
          <w:ilvl w:val="0"/>
          <w:numId w:val="0"/>
        </w:numPr>
        <w:ind w:left="10"/>
        <w:rPr>
          <w:b w:val="0"/>
          <w:bCs/>
          <w:sz w:val="18"/>
          <w:szCs w:val="18"/>
        </w:rPr>
      </w:pPr>
      <w:r w:rsidRPr="002D31EC">
        <w:rPr>
          <w:b w:val="0"/>
          <w:bCs/>
          <w:sz w:val="18"/>
          <w:szCs w:val="18"/>
        </w:rPr>
        <w:t>This case is an illustrative example and not a real patient report. The assessment is based on limited information, so the actual cause of the reaction cannot be confirmed. A proper pharmacovigilance assessment requires a complete patient history, relevant clinical information, and professional judgement.</w:t>
      </w:r>
    </w:p>
    <w:sectPr w:rsidR="008B10C5" w:rsidRPr="002D31EC">
      <w:pgSz w:w="11906" w:h="16838"/>
      <w:pgMar w:top="1440" w:right="1096" w:bottom="1440" w:left="108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627691"/>
    <w:multiLevelType w:val="hybridMultilevel"/>
    <w:tmpl w:val="AEDA9526"/>
    <w:lvl w:ilvl="0" w:tplc="40090001">
      <w:start w:val="1"/>
      <w:numFmt w:val="bullet"/>
      <w:lvlText w:val=""/>
      <w:lvlJc w:val="left"/>
      <w:pPr>
        <w:ind w:left="730" w:hanging="360"/>
      </w:pPr>
      <w:rPr>
        <w:rFonts w:ascii="Symbol" w:hAnsi="Symbol" w:hint="default"/>
      </w:rPr>
    </w:lvl>
    <w:lvl w:ilvl="1" w:tplc="40090003" w:tentative="1">
      <w:start w:val="1"/>
      <w:numFmt w:val="bullet"/>
      <w:lvlText w:val="o"/>
      <w:lvlJc w:val="left"/>
      <w:pPr>
        <w:ind w:left="1450" w:hanging="360"/>
      </w:pPr>
      <w:rPr>
        <w:rFonts w:ascii="Courier New" w:hAnsi="Courier New" w:cs="Courier New" w:hint="default"/>
      </w:rPr>
    </w:lvl>
    <w:lvl w:ilvl="2" w:tplc="40090005" w:tentative="1">
      <w:start w:val="1"/>
      <w:numFmt w:val="bullet"/>
      <w:lvlText w:val=""/>
      <w:lvlJc w:val="left"/>
      <w:pPr>
        <w:ind w:left="2170" w:hanging="360"/>
      </w:pPr>
      <w:rPr>
        <w:rFonts w:ascii="Wingdings" w:hAnsi="Wingdings" w:hint="default"/>
      </w:rPr>
    </w:lvl>
    <w:lvl w:ilvl="3" w:tplc="40090001" w:tentative="1">
      <w:start w:val="1"/>
      <w:numFmt w:val="bullet"/>
      <w:lvlText w:val=""/>
      <w:lvlJc w:val="left"/>
      <w:pPr>
        <w:ind w:left="2890" w:hanging="360"/>
      </w:pPr>
      <w:rPr>
        <w:rFonts w:ascii="Symbol" w:hAnsi="Symbol" w:hint="default"/>
      </w:rPr>
    </w:lvl>
    <w:lvl w:ilvl="4" w:tplc="40090003" w:tentative="1">
      <w:start w:val="1"/>
      <w:numFmt w:val="bullet"/>
      <w:lvlText w:val="o"/>
      <w:lvlJc w:val="left"/>
      <w:pPr>
        <w:ind w:left="3610" w:hanging="360"/>
      </w:pPr>
      <w:rPr>
        <w:rFonts w:ascii="Courier New" w:hAnsi="Courier New" w:cs="Courier New" w:hint="default"/>
      </w:rPr>
    </w:lvl>
    <w:lvl w:ilvl="5" w:tplc="40090005" w:tentative="1">
      <w:start w:val="1"/>
      <w:numFmt w:val="bullet"/>
      <w:lvlText w:val=""/>
      <w:lvlJc w:val="left"/>
      <w:pPr>
        <w:ind w:left="4330" w:hanging="360"/>
      </w:pPr>
      <w:rPr>
        <w:rFonts w:ascii="Wingdings" w:hAnsi="Wingdings" w:hint="default"/>
      </w:rPr>
    </w:lvl>
    <w:lvl w:ilvl="6" w:tplc="40090001" w:tentative="1">
      <w:start w:val="1"/>
      <w:numFmt w:val="bullet"/>
      <w:lvlText w:val=""/>
      <w:lvlJc w:val="left"/>
      <w:pPr>
        <w:ind w:left="5050" w:hanging="360"/>
      </w:pPr>
      <w:rPr>
        <w:rFonts w:ascii="Symbol" w:hAnsi="Symbol" w:hint="default"/>
      </w:rPr>
    </w:lvl>
    <w:lvl w:ilvl="7" w:tplc="40090003" w:tentative="1">
      <w:start w:val="1"/>
      <w:numFmt w:val="bullet"/>
      <w:lvlText w:val="o"/>
      <w:lvlJc w:val="left"/>
      <w:pPr>
        <w:ind w:left="5770" w:hanging="360"/>
      </w:pPr>
      <w:rPr>
        <w:rFonts w:ascii="Courier New" w:hAnsi="Courier New" w:cs="Courier New" w:hint="default"/>
      </w:rPr>
    </w:lvl>
    <w:lvl w:ilvl="8" w:tplc="40090005" w:tentative="1">
      <w:start w:val="1"/>
      <w:numFmt w:val="bullet"/>
      <w:lvlText w:val=""/>
      <w:lvlJc w:val="left"/>
      <w:pPr>
        <w:ind w:left="6490" w:hanging="360"/>
      </w:pPr>
      <w:rPr>
        <w:rFonts w:ascii="Wingdings" w:hAnsi="Wingdings" w:hint="default"/>
      </w:rPr>
    </w:lvl>
  </w:abstractNum>
  <w:abstractNum w:abstractNumId="1" w15:restartNumberingAfterBreak="0">
    <w:nsid w:val="418C5EB1"/>
    <w:multiLevelType w:val="hybridMultilevel"/>
    <w:tmpl w:val="74961AE0"/>
    <w:lvl w:ilvl="0" w:tplc="8CCE4236">
      <w:start w:val="1"/>
      <w:numFmt w:val="decimal"/>
      <w:pStyle w:val="Heading1"/>
      <w:lvlText w:val="%1."/>
      <w:lvlJc w:val="left"/>
      <w:pPr>
        <w:ind w:left="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86829C66">
      <w:start w:val="1"/>
      <w:numFmt w:val="lowerLetter"/>
      <w:lvlText w:val="%2"/>
      <w:lvlJc w:val="left"/>
      <w:pPr>
        <w:ind w:left="10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5E241FF6">
      <w:start w:val="1"/>
      <w:numFmt w:val="lowerRoman"/>
      <w:lvlText w:val="%3"/>
      <w:lvlJc w:val="left"/>
      <w:pPr>
        <w:ind w:left="18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87322818">
      <w:start w:val="1"/>
      <w:numFmt w:val="decimal"/>
      <w:lvlText w:val="%4"/>
      <w:lvlJc w:val="left"/>
      <w:pPr>
        <w:ind w:left="25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A1605B72">
      <w:start w:val="1"/>
      <w:numFmt w:val="lowerLetter"/>
      <w:lvlText w:val="%5"/>
      <w:lvlJc w:val="left"/>
      <w:pPr>
        <w:ind w:left="32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776CC98A">
      <w:start w:val="1"/>
      <w:numFmt w:val="lowerRoman"/>
      <w:lvlText w:val="%6"/>
      <w:lvlJc w:val="left"/>
      <w:pPr>
        <w:ind w:left="39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6FBCE094">
      <w:start w:val="1"/>
      <w:numFmt w:val="decimal"/>
      <w:lvlText w:val="%7"/>
      <w:lvlJc w:val="left"/>
      <w:pPr>
        <w:ind w:left="46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09623238">
      <w:start w:val="1"/>
      <w:numFmt w:val="lowerLetter"/>
      <w:lvlText w:val="%8"/>
      <w:lvlJc w:val="left"/>
      <w:pPr>
        <w:ind w:left="54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DA84799C">
      <w:start w:val="1"/>
      <w:numFmt w:val="lowerRoman"/>
      <w:lvlText w:val="%9"/>
      <w:lvlJc w:val="left"/>
      <w:pPr>
        <w:ind w:left="61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num w:numId="1" w16cid:durableId="1456869731">
    <w:abstractNumId w:val="1"/>
  </w:num>
  <w:num w:numId="2" w16cid:durableId="3411999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10C5"/>
    <w:rsid w:val="002D31EC"/>
    <w:rsid w:val="0074582A"/>
    <w:rsid w:val="008169C2"/>
    <w:rsid w:val="008B10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6B9308"/>
  <w15:docId w15:val="{B85C4229-0796-46AE-9036-DFEFA2CE5E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52" w:line="286" w:lineRule="auto"/>
      <w:ind w:left="10" w:hanging="10"/>
    </w:pPr>
    <w:rPr>
      <w:rFonts w:ascii="Arial" w:eastAsia="Arial" w:hAnsi="Arial" w:cs="Arial"/>
      <w:color w:val="000000"/>
      <w:sz w:val="19"/>
    </w:rPr>
  </w:style>
  <w:style w:type="paragraph" w:styleId="Heading1">
    <w:name w:val="heading 1"/>
    <w:next w:val="Normal"/>
    <w:link w:val="Heading1Char"/>
    <w:uiPriority w:val="9"/>
    <w:qFormat/>
    <w:pPr>
      <w:keepNext/>
      <w:keepLines/>
      <w:numPr>
        <w:numId w:val="1"/>
      </w:numPr>
      <w:spacing w:after="72" w:line="259" w:lineRule="auto"/>
      <w:ind w:left="10" w:hanging="10"/>
      <w:outlineLvl w:val="0"/>
    </w:pPr>
    <w:rPr>
      <w:rFonts w:ascii="Arial" w:eastAsia="Arial" w:hAnsi="Arial" w:cs="Arial"/>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495</Words>
  <Characters>2822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Nanma Ajo</dc:creator>
  <cp:keywords/>
  <cp:lastModifiedBy>Nanma Ajo</cp:lastModifiedBy>
  <cp:revision>2</cp:revision>
  <dcterms:created xsi:type="dcterms:W3CDTF">2026-10-09T15:53:00Z</dcterms:created>
  <dcterms:modified xsi:type="dcterms:W3CDTF">2026-10-09T15:53:00Z</dcterms:modified>
</cp:coreProperties>
</file>