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4714E" w14:textId="77777777" w:rsidR="00F33FCC" w:rsidRDefault="00000000">
      <w:pPr>
        <w:spacing w:after="0" w:line="259" w:lineRule="auto"/>
        <w:ind w:left="0" w:firstLine="0"/>
        <w:jc w:val="center"/>
      </w:pPr>
      <w:r>
        <w:rPr>
          <w:b/>
          <w:sz w:val="34"/>
        </w:rPr>
        <w:t>Causality Assessment of an Adverse Drug Reaction</w:t>
      </w:r>
    </w:p>
    <w:p w14:paraId="6F1BB3CC" w14:textId="77777777" w:rsidR="00F33FCC" w:rsidRDefault="00000000">
      <w:pPr>
        <w:spacing w:after="282" w:line="259" w:lineRule="auto"/>
        <w:ind w:left="0" w:firstLine="0"/>
        <w:jc w:val="center"/>
      </w:pPr>
      <w:r>
        <w:rPr>
          <w:sz w:val="20"/>
        </w:rPr>
        <w:t>Pharmacovigilance – Task 3</w:t>
      </w:r>
    </w:p>
    <w:p w14:paraId="14CD79B2" w14:textId="77777777" w:rsidR="00F33FCC" w:rsidRDefault="00000000">
      <w:pPr>
        <w:pStyle w:val="Heading1"/>
        <w:numPr>
          <w:ilvl w:val="0"/>
          <w:numId w:val="0"/>
        </w:numPr>
        <w:ind w:left="-5"/>
      </w:pPr>
      <w:r>
        <w:t>Case summary</w:t>
      </w:r>
    </w:p>
    <w:p w14:paraId="29C25A63" w14:textId="77777777" w:rsidR="00F33FCC" w:rsidRDefault="00000000">
      <w:pPr>
        <w:ind w:left="-5" w:right="7"/>
      </w:pPr>
      <w:r>
        <w:t>A 32-year-old man (initials RP; weight 65 kg) was prescribed amoxicillin 500 mg orally three times daily for acute bacterial sinusitis, starting on 1 March 2026. On 3 March 2026, he developed generalized itching and a rash over his chest. Amoxicillin was stopped that day, and antihistamines were given. He recovered completely by 6 March 2026. No previous allergy history was reported.</w:t>
      </w:r>
    </w:p>
    <w:p w14:paraId="20124EB3" w14:textId="77777777" w:rsidR="00F33FCC" w:rsidRDefault="00000000">
      <w:pPr>
        <w:pStyle w:val="Heading1"/>
        <w:spacing w:after="0"/>
        <w:ind w:left="241" w:hanging="256"/>
      </w:pPr>
      <w:r>
        <w:t>Assessment criteria</w:t>
      </w:r>
    </w:p>
    <w:tbl>
      <w:tblPr>
        <w:tblStyle w:val="TableGrid"/>
        <w:tblW w:w="9184" w:type="dxa"/>
        <w:tblInd w:w="419" w:type="dxa"/>
        <w:tblCellMar>
          <w:top w:w="0" w:type="dxa"/>
          <w:left w:w="0" w:type="dxa"/>
          <w:bottom w:w="0" w:type="dxa"/>
          <w:right w:w="0" w:type="dxa"/>
        </w:tblCellMar>
        <w:tblLook w:val="04A0" w:firstRow="1" w:lastRow="0" w:firstColumn="1" w:lastColumn="0" w:noHBand="0" w:noVBand="1"/>
      </w:tblPr>
      <w:tblGrid>
        <w:gridCol w:w="2438"/>
        <w:gridCol w:w="6746"/>
      </w:tblGrid>
      <w:tr w:rsidR="00F33FCC" w14:paraId="4EB83111" w14:textId="77777777">
        <w:trPr>
          <w:trHeight w:val="400"/>
        </w:trPr>
        <w:tc>
          <w:tcPr>
            <w:tcW w:w="2438" w:type="dxa"/>
            <w:tcBorders>
              <w:top w:val="single" w:sz="4" w:space="0" w:color="777777"/>
              <w:left w:val="single" w:sz="4" w:space="0" w:color="777777"/>
              <w:bottom w:val="single" w:sz="4" w:space="0" w:color="777777"/>
              <w:right w:val="single" w:sz="4" w:space="0" w:color="777777"/>
            </w:tcBorders>
            <w:shd w:val="clear" w:color="auto" w:fill="F2D14B"/>
            <w:vAlign w:val="center"/>
          </w:tcPr>
          <w:p w14:paraId="7961EE7C" w14:textId="77777777" w:rsidR="00F33FCC" w:rsidRDefault="00000000">
            <w:pPr>
              <w:spacing w:after="0" w:line="259" w:lineRule="auto"/>
              <w:ind w:left="100" w:firstLine="0"/>
            </w:pPr>
            <w:r>
              <w:rPr>
                <w:b/>
                <w:sz w:val="16"/>
              </w:rPr>
              <w:t>Criterion</w:t>
            </w:r>
          </w:p>
        </w:tc>
        <w:tc>
          <w:tcPr>
            <w:tcW w:w="6746" w:type="dxa"/>
            <w:tcBorders>
              <w:top w:val="single" w:sz="4" w:space="0" w:color="777777"/>
              <w:left w:val="single" w:sz="4" w:space="0" w:color="777777"/>
              <w:bottom w:val="single" w:sz="4" w:space="0" w:color="777777"/>
              <w:right w:val="single" w:sz="4" w:space="0" w:color="777777"/>
            </w:tcBorders>
            <w:shd w:val="clear" w:color="auto" w:fill="F2D14B"/>
            <w:vAlign w:val="center"/>
          </w:tcPr>
          <w:p w14:paraId="3D06F37F" w14:textId="77777777" w:rsidR="00F33FCC" w:rsidRDefault="00000000">
            <w:pPr>
              <w:spacing w:after="0" w:line="259" w:lineRule="auto"/>
              <w:ind w:left="100" w:firstLine="0"/>
            </w:pPr>
            <w:r>
              <w:rPr>
                <w:b/>
                <w:sz w:val="16"/>
              </w:rPr>
              <w:t>Case assessment</w:t>
            </w:r>
          </w:p>
        </w:tc>
      </w:tr>
      <w:tr w:rsidR="00F33FCC" w14:paraId="22092E62"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0B3F4287" w14:textId="77777777" w:rsidR="00F33FCC" w:rsidRDefault="00000000">
            <w:pPr>
              <w:spacing w:after="0" w:line="259" w:lineRule="auto"/>
              <w:ind w:left="100" w:firstLine="0"/>
            </w:pPr>
            <w:r>
              <w:rPr>
                <w:sz w:val="16"/>
              </w:rPr>
              <w:t>Temporal relationship</w:t>
            </w:r>
          </w:p>
        </w:tc>
        <w:tc>
          <w:tcPr>
            <w:tcW w:w="6746" w:type="dxa"/>
            <w:tcBorders>
              <w:top w:val="single" w:sz="4" w:space="0" w:color="777777"/>
              <w:left w:val="single" w:sz="4" w:space="0" w:color="777777"/>
              <w:bottom w:val="single" w:sz="4" w:space="0" w:color="777777"/>
              <w:right w:val="single" w:sz="4" w:space="0" w:color="777777"/>
            </w:tcBorders>
            <w:vAlign w:val="center"/>
          </w:tcPr>
          <w:p w14:paraId="14E7F75C" w14:textId="77777777" w:rsidR="00F33FCC" w:rsidRDefault="00000000">
            <w:pPr>
              <w:spacing w:after="0" w:line="259" w:lineRule="auto"/>
              <w:ind w:left="100" w:right="-1374" w:firstLine="0"/>
            </w:pPr>
            <w:r>
              <w:rPr>
                <w:sz w:val="16"/>
              </w:rPr>
              <w:t>The reaction started two days after amoxicillin was started. The timing is compatible with a possible drug-related r</w:t>
            </w:r>
          </w:p>
        </w:tc>
      </w:tr>
      <w:tr w:rsidR="00F33FCC" w14:paraId="6BBD3957"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554534A6" w14:textId="77777777" w:rsidR="00F33FCC" w:rsidRDefault="00000000">
            <w:pPr>
              <w:spacing w:after="0" w:line="259" w:lineRule="auto"/>
              <w:ind w:left="100" w:firstLine="0"/>
            </w:pPr>
            <w:r>
              <w:rPr>
                <w:sz w:val="16"/>
              </w:rPr>
              <w:t>Improvement after stopping (dec</w:t>
            </w:r>
          </w:p>
        </w:tc>
        <w:tc>
          <w:tcPr>
            <w:tcW w:w="6746" w:type="dxa"/>
            <w:tcBorders>
              <w:top w:val="single" w:sz="4" w:space="0" w:color="777777"/>
              <w:left w:val="single" w:sz="4" w:space="0" w:color="777777"/>
              <w:bottom w:val="single" w:sz="4" w:space="0" w:color="777777"/>
              <w:right w:val="single" w:sz="4" w:space="0" w:color="777777"/>
            </w:tcBorders>
            <w:vAlign w:val="center"/>
          </w:tcPr>
          <w:p w14:paraId="5B01B658" w14:textId="77777777" w:rsidR="00F33FCC" w:rsidRDefault="00000000">
            <w:pPr>
              <w:spacing w:after="0" w:line="259" w:lineRule="auto"/>
              <w:ind w:left="-35" w:right="-1392" w:firstLine="0"/>
            </w:pPr>
            <w:proofErr w:type="spellStart"/>
            <w:proofErr w:type="gramStart"/>
            <w:r>
              <w:rPr>
                <w:sz w:val="16"/>
              </w:rPr>
              <w:t>hallenge</w:t>
            </w:r>
            <w:proofErr w:type="spellEnd"/>
            <w:r>
              <w:rPr>
                <w:sz w:val="16"/>
              </w:rPr>
              <w:t>)The</w:t>
            </w:r>
            <w:proofErr w:type="gramEnd"/>
            <w:r>
              <w:rPr>
                <w:sz w:val="16"/>
              </w:rPr>
              <w:t xml:space="preserve"> patient recovered after amoxicillin was stopped and antihistamines were given. This supports a possible </w:t>
            </w:r>
            <w:proofErr w:type="spellStart"/>
            <w:r>
              <w:rPr>
                <w:sz w:val="16"/>
              </w:rPr>
              <w:t>asso</w:t>
            </w:r>
            <w:proofErr w:type="spellEnd"/>
          </w:p>
        </w:tc>
      </w:tr>
      <w:tr w:rsidR="00F33FCC" w14:paraId="3F570A17"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554DA39C" w14:textId="77777777" w:rsidR="00F33FCC" w:rsidRDefault="00000000">
            <w:pPr>
              <w:spacing w:after="0" w:line="259" w:lineRule="auto"/>
              <w:ind w:left="100" w:firstLine="0"/>
            </w:pPr>
            <w:r>
              <w:rPr>
                <w:sz w:val="16"/>
              </w:rPr>
              <w:t>Rechallenge</w:t>
            </w:r>
          </w:p>
        </w:tc>
        <w:tc>
          <w:tcPr>
            <w:tcW w:w="6746" w:type="dxa"/>
            <w:tcBorders>
              <w:top w:val="single" w:sz="4" w:space="0" w:color="777777"/>
              <w:left w:val="single" w:sz="4" w:space="0" w:color="777777"/>
              <w:bottom w:val="single" w:sz="4" w:space="0" w:color="777777"/>
              <w:right w:val="single" w:sz="4" w:space="0" w:color="777777"/>
            </w:tcBorders>
            <w:vAlign w:val="center"/>
          </w:tcPr>
          <w:p w14:paraId="1E8A6BD2" w14:textId="77777777" w:rsidR="00F33FCC" w:rsidRDefault="00000000">
            <w:pPr>
              <w:spacing w:after="0" w:line="259" w:lineRule="auto"/>
              <w:ind w:left="100" w:right="-583" w:firstLine="0"/>
            </w:pPr>
            <w:r>
              <w:rPr>
                <w:sz w:val="16"/>
              </w:rPr>
              <w:t>The medicine was not restarted, so recurrence after re-exposure is unknown and cannot be assessed.</w:t>
            </w:r>
          </w:p>
        </w:tc>
      </w:tr>
      <w:tr w:rsidR="00F33FCC" w14:paraId="0526BF9B"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092AF40B" w14:textId="77777777" w:rsidR="00F33FCC" w:rsidRDefault="00000000">
            <w:pPr>
              <w:spacing w:after="0" w:line="259" w:lineRule="auto"/>
              <w:ind w:left="100" w:firstLine="0"/>
            </w:pPr>
            <w:r>
              <w:rPr>
                <w:sz w:val="16"/>
              </w:rPr>
              <w:t>Alternative causes</w:t>
            </w:r>
          </w:p>
        </w:tc>
        <w:tc>
          <w:tcPr>
            <w:tcW w:w="6746" w:type="dxa"/>
            <w:tcBorders>
              <w:top w:val="single" w:sz="4" w:space="0" w:color="777777"/>
              <w:left w:val="single" w:sz="4" w:space="0" w:color="777777"/>
              <w:bottom w:val="single" w:sz="4" w:space="0" w:color="777777"/>
              <w:right w:val="single" w:sz="4" w:space="0" w:color="777777"/>
            </w:tcBorders>
            <w:vAlign w:val="center"/>
          </w:tcPr>
          <w:p w14:paraId="4FE0FBBF" w14:textId="77777777" w:rsidR="00F33FCC" w:rsidRDefault="00000000">
            <w:pPr>
              <w:spacing w:after="0" w:line="259" w:lineRule="auto"/>
              <w:ind w:left="100" w:firstLine="0"/>
            </w:pPr>
            <w:r>
              <w:rPr>
                <w:sz w:val="16"/>
              </w:rPr>
              <w:t>The case does not provide enough information to rule out other causes of itching and rash.</w:t>
            </w:r>
          </w:p>
        </w:tc>
      </w:tr>
      <w:tr w:rsidR="00F33FCC" w14:paraId="082B9400"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3A916265" w14:textId="77777777" w:rsidR="00F33FCC" w:rsidRDefault="00000000">
            <w:pPr>
              <w:spacing w:after="0" w:line="259" w:lineRule="auto"/>
              <w:ind w:left="100" w:right="-36" w:firstLine="0"/>
            </w:pPr>
            <w:r>
              <w:rPr>
                <w:sz w:val="16"/>
              </w:rPr>
              <w:t>Previous reports / known reaction</w:t>
            </w:r>
          </w:p>
        </w:tc>
        <w:tc>
          <w:tcPr>
            <w:tcW w:w="6746" w:type="dxa"/>
            <w:tcBorders>
              <w:top w:val="single" w:sz="4" w:space="0" w:color="777777"/>
              <w:left w:val="single" w:sz="4" w:space="0" w:color="777777"/>
              <w:bottom w:val="single" w:sz="4" w:space="0" w:color="777777"/>
              <w:right w:val="single" w:sz="4" w:space="0" w:color="777777"/>
            </w:tcBorders>
            <w:vAlign w:val="center"/>
          </w:tcPr>
          <w:p w14:paraId="7678824C" w14:textId="77777777" w:rsidR="00F33FCC" w:rsidRDefault="00000000">
            <w:pPr>
              <w:spacing w:after="0" w:line="259" w:lineRule="auto"/>
              <w:ind w:left="100" w:firstLine="0"/>
            </w:pPr>
            <w:r>
              <w:rPr>
                <w:sz w:val="16"/>
              </w:rPr>
              <w:t>Not stated in the provided case narrative; this cannot be scored from the case details alone.</w:t>
            </w:r>
          </w:p>
        </w:tc>
      </w:tr>
      <w:tr w:rsidR="00F33FCC" w14:paraId="34B4C61A" w14:textId="77777777">
        <w:trPr>
          <w:trHeight w:val="400"/>
        </w:trPr>
        <w:tc>
          <w:tcPr>
            <w:tcW w:w="2438" w:type="dxa"/>
            <w:tcBorders>
              <w:top w:val="single" w:sz="4" w:space="0" w:color="777777"/>
              <w:left w:val="single" w:sz="4" w:space="0" w:color="777777"/>
              <w:bottom w:val="single" w:sz="4" w:space="0" w:color="777777"/>
              <w:right w:val="single" w:sz="4" w:space="0" w:color="777777"/>
            </w:tcBorders>
            <w:vAlign w:val="center"/>
          </w:tcPr>
          <w:p w14:paraId="0AD9772E" w14:textId="77777777" w:rsidR="00F33FCC" w:rsidRDefault="00000000">
            <w:pPr>
              <w:spacing w:after="0" w:line="259" w:lineRule="auto"/>
              <w:ind w:left="100" w:firstLine="0"/>
            </w:pPr>
            <w:r>
              <w:rPr>
                <w:sz w:val="16"/>
              </w:rPr>
              <w:t>Objective evidence / laboratory t</w:t>
            </w:r>
          </w:p>
        </w:tc>
        <w:tc>
          <w:tcPr>
            <w:tcW w:w="6746" w:type="dxa"/>
            <w:tcBorders>
              <w:top w:val="single" w:sz="4" w:space="0" w:color="777777"/>
              <w:left w:val="single" w:sz="4" w:space="0" w:color="777777"/>
              <w:bottom w:val="single" w:sz="4" w:space="0" w:color="777777"/>
              <w:right w:val="single" w:sz="4" w:space="0" w:color="777777"/>
            </w:tcBorders>
            <w:vAlign w:val="center"/>
          </w:tcPr>
          <w:p w14:paraId="53BDD582" w14:textId="77777777" w:rsidR="00F33FCC" w:rsidRDefault="00000000">
            <w:pPr>
              <w:spacing w:after="0" w:line="259" w:lineRule="auto"/>
              <w:ind w:left="-52" w:firstLine="0"/>
            </w:pPr>
            <w:proofErr w:type="spellStart"/>
            <w:r>
              <w:rPr>
                <w:sz w:val="16"/>
              </w:rPr>
              <w:t>estsNo</w:t>
            </w:r>
            <w:proofErr w:type="spellEnd"/>
            <w:r>
              <w:rPr>
                <w:sz w:val="16"/>
              </w:rPr>
              <w:t xml:space="preserve"> relevant tests or laboratory findings were provided.</w:t>
            </w:r>
          </w:p>
        </w:tc>
      </w:tr>
    </w:tbl>
    <w:p w14:paraId="1620A02D" w14:textId="77777777" w:rsidR="00F33FCC" w:rsidRDefault="00000000">
      <w:pPr>
        <w:pStyle w:val="Heading1"/>
        <w:ind w:left="241" w:hanging="256"/>
      </w:pPr>
      <w:r>
        <w:t>WHO–UMC causality assessment</w:t>
      </w:r>
    </w:p>
    <w:p w14:paraId="7CAD91D2" w14:textId="77777777" w:rsidR="00F33FCC" w:rsidRDefault="00000000">
      <w:pPr>
        <w:ind w:left="-5" w:right="7"/>
      </w:pPr>
      <w:r>
        <w:rPr>
          <w:b/>
        </w:rPr>
        <w:t>Suggested classification: Possible.</w:t>
      </w:r>
      <w:r>
        <w:t xml:space="preserve"> The reaction occurred after the medicine was started and improved after it was stopped. However, alternative causes have not been fully assessed, and there was no rechallenge. Based on the available information, the relationship is plausible but not established with enough certainty to classify it as certain or probable.</w:t>
      </w:r>
    </w:p>
    <w:p w14:paraId="29C01D53" w14:textId="77777777" w:rsidR="00F33FCC" w:rsidRDefault="00000000">
      <w:pPr>
        <w:pStyle w:val="Heading1"/>
        <w:ind w:left="241" w:hanging="256"/>
      </w:pPr>
      <w:r>
        <w:t>Naranjo assessment (qualitative summary)</w:t>
      </w:r>
    </w:p>
    <w:p w14:paraId="4A31D2B1" w14:textId="77777777" w:rsidR="00F33FCC" w:rsidRDefault="00000000">
      <w:pPr>
        <w:ind w:left="-5" w:right="7"/>
      </w:pPr>
      <w:r>
        <w:t>The available case supports a temporal association and improvement after stopping the medicine. Several Naranjo items cannot be answered from the narrative, including prior conclusive reports as documented for this task, placebo response, drug levels, dose-response details beyond the reported course, prior similar reactions, and objective confirmation. Therefore, a reliable numerical Naranjo score cannot be calculated without making assumptions.</w:t>
      </w:r>
    </w:p>
    <w:p w14:paraId="746CAC76" w14:textId="77777777" w:rsidR="00F33FCC" w:rsidRDefault="00000000">
      <w:pPr>
        <w:pStyle w:val="Heading1"/>
        <w:ind w:left="241" w:hanging="256"/>
      </w:pPr>
      <w:r>
        <w:t>Conclusion</w:t>
      </w:r>
    </w:p>
    <w:p w14:paraId="082114BF" w14:textId="77777777" w:rsidR="00F33FCC" w:rsidRDefault="00000000">
      <w:pPr>
        <w:spacing w:after="100"/>
        <w:ind w:left="-5" w:right="7"/>
      </w:pPr>
      <w:r>
        <w:t xml:space="preserve">Amoxicillin is the suspected medicine. Based on the case information, the reaction is best recorded as a </w:t>
      </w:r>
      <w:r>
        <w:rPr>
          <w:b/>
        </w:rPr>
        <w:t>possible</w:t>
      </w:r>
      <w:r>
        <w:t xml:space="preserve"> adverse drug reaction for this educational exercise. The assessment is limited by missing information about alternative causes, relevant tests, and rechallenge. The classification should be reviewed by a qualified healthcare professional if this were a real case.</w:t>
      </w:r>
    </w:p>
    <w:sectPr w:rsidR="00F33FCC">
      <w:pgSz w:w="11906" w:h="16838"/>
      <w:pgMar w:top="1440" w:right="942" w:bottom="1440" w:left="94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E633A"/>
    <w:multiLevelType w:val="hybridMultilevel"/>
    <w:tmpl w:val="369C7530"/>
    <w:lvl w:ilvl="0" w:tplc="27904ADA">
      <w:start w:val="1"/>
      <w:numFmt w:val="decimal"/>
      <w:pStyle w:val="Heading1"/>
      <w:lvlText w:val="%1."/>
      <w:lvlJc w:val="left"/>
      <w:pPr>
        <w:ind w:left="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1" w:tplc="E6B44A00">
      <w:start w:val="1"/>
      <w:numFmt w:val="lowerLetter"/>
      <w:lvlText w:val="%2"/>
      <w:lvlJc w:val="left"/>
      <w:pPr>
        <w:ind w:left="10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2" w:tplc="3434F4BA">
      <w:start w:val="1"/>
      <w:numFmt w:val="lowerRoman"/>
      <w:lvlText w:val="%3"/>
      <w:lvlJc w:val="left"/>
      <w:pPr>
        <w:ind w:left="18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3" w:tplc="34B21886">
      <w:start w:val="1"/>
      <w:numFmt w:val="decimal"/>
      <w:lvlText w:val="%4"/>
      <w:lvlJc w:val="left"/>
      <w:pPr>
        <w:ind w:left="25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4" w:tplc="5176B5D6">
      <w:start w:val="1"/>
      <w:numFmt w:val="lowerLetter"/>
      <w:lvlText w:val="%5"/>
      <w:lvlJc w:val="left"/>
      <w:pPr>
        <w:ind w:left="324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5" w:tplc="7B54E630">
      <w:start w:val="1"/>
      <w:numFmt w:val="lowerRoman"/>
      <w:lvlText w:val="%6"/>
      <w:lvlJc w:val="left"/>
      <w:pPr>
        <w:ind w:left="396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6" w:tplc="83DAA70A">
      <w:start w:val="1"/>
      <w:numFmt w:val="decimal"/>
      <w:lvlText w:val="%7"/>
      <w:lvlJc w:val="left"/>
      <w:pPr>
        <w:ind w:left="468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7" w:tplc="AA16AA54">
      <w:start w:val="1"/>
      <w:numFmt w:val="lowerLetter"/>
      <w:lvlText w:val="%8"/>
      <w:lvlJc w:val="left"/>
      <w:pPr>
        <w:ind w:left="540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lvl w:ilvl="8" w:tplc="06E83E08">
      <w:start w:val="1"/>
      <w:numFmt w:val="lowerRoman"/>
      <w:lvlText w:val="%9"/>
      <w:lvlJc w:val="left"/>
      <w:pPr>
        <w:ind w:left="6120"/>
      </w:pPr>
      <w:rPr>
        <w:rFonts w:ascii="Arial" w:eastAsia="Arial" w:hAnsi="Arial" w:cs="Arial"/>
        <w:b/>
        <w:bCs/>
        <w:i w:val="0"/>
        <w:strike w:val="0"/>
        <w:dstrike w:val="0"/>
        <w:color w:val="000000"/>
        <w:sz w:val="23"/>
        <w:szCs w:val="23"/>
        <w:u w:val="none" w:color="000000"/>
        <w:bdr w:val="none" w:sz="0" w:space="0" w:color="auto"/>
        <w:shd w:val="clear" w:color="auto" w:fill="auto"/>
        <w:vertAlign w:val="baseline"/>
      </w:rPr>
    </w:lvl>
  </w:abstractNum>
  <w:num w:numId="1" w16cid:durableId="179891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3FCC"/>
    <w:rsid w:val="004B29A7"/>
    <w:rsid w:val="004C6940"/>
    <w:rsid w:val="00F33F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8CFF4"/>
  <w15:docId w15:val="{5DB1D3EA-499B-41F7-AFFD-04FD3137E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0"/>
      <w:ind w:left="10" w:hanging="10"/>
    </w:pPr>
    <w:rPr>
      <w:rFonts w:ascii="Arial" w:eastAsia="Arial" w:hAnsi="Arial" w:cs="Arial"/>
      <w:color w:val="000000"/>
      <w:sz w:val="18"/>
    </w:rPr>
  </w:style>
  <w:style w:type="paragraph" w:styleId="Heading1">
    <w:name w:val="heading 1"/>
    <w:next w:val="Normal"/>
    <w:link w:val="Heading1Char"/>
    <w:uiPriority w:val="9"/>
    <w:qFormat/>
    <w:pPr>
      <w:keepNext/>
      <w:keepLines/>
      <w:numPr>
        <w:numId w:val="1"/>
      </w:numPr>
      <w:spacing w:after="64" w:line="259" w:lineRule="auto"/>
      <w:ind w:left="10" w:hanging="10"/>
      <w:outlineLvl w:val="0"/>
    </w:pPr>
    <w:rPr>
      <w:rFonts w:ascii="Arial" w:eastAsia="Arial" w:hAnsi="Arial" w:cs="Arial"/>
      <w:b/>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3"/>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378</Words>
  <Characters>2155</Characters>
  <Application>Microsoft Office Word</Application>
  <DocSecurity>0</DocSecurity>
  <Lines>17</Lines>
  <Paragraphs>5</Paragraphs>
  <ScaleCrop>false</ScaleCrop>
  <Company/>
  <LinksUpToDate>false</LinksUpToDate>
  <CharactersWithSpaces>2528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Nanma Ajo</dc:creator>
  <cp:keywords/>
  <cp:lastModifiedBy>Nanma Ajo</cp:lastModifiedBy>
  <cp:revision>2</cp:revision>
  <dcterms:created xsi:type="dcterms:W3CDTF">2026-10-09T16:30:00Z</dcterms:created>
  <dcterms:modified xsi:type="dcterms:W3CDTF">2026-10-09T16:30:00Z</dcterms:modified>
</cp:coreProperties>
</file>