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  <w:t xml:space="preserve">疯狂猜大小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游戏规则：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"/>
        </w:numPr>
        <w:spacing w:before="0" w:after="0" w:line="240"/>
        <w:ind w:right="0" w:left="78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在指定区域投币金额，即可点击“大”、“小”或“豹子”摇骰子；</w:t>
      </w:r>
    </w:p>
    <w:p>
      <w:pPr>
        <w:numPr>
          <w:ilvl w:val="0"/>
          <w:numId w:val="3"/>
        </w:numPr>
        <w:spacing w:before="0" w:after="0" w:line="240"/>
        <w:ind w:right="0" w:left="78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最低投币金额为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100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，最高投币金额为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10000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，且投币金额必须为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100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的整数倍；</w:t>
      </w:r>
    </w:p>
    <w:p>
      <w:pPr>
        <w:numPr>
          <w:ilvl w:val="0"/>
          <w:numId w:val="3"/>
        </w:numPr>
        <w:spacing w:before="0" w:after="0" w:line="240"/>
        <w:ind w:right="0" w:left="78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投币说明：</w:t>
      </w:r>
    </w:p>
    <w:p>
      <w:pPr>
        <w:spacing w:before="0" w:after="0" w:line="240"/>
        <w:ind w:right="0" w:left="84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小：三个骰子点数总和为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4-10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点；</w:t>
      </w:r>
    </w:p>
    <w:p>
      <w:pPr>
        <w:spacing w:before="0" w:after="0" w:line="240"/>
        <w:ind w:right="0" w:left="84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大：三个骰子点数总和为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11-17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点；</w:t>
      </w:r>
    </w:p>
    <w:p>
      <w:pPr>
        <w:spacing w:before="0" w:after="0" w:line="240"/>
        <w:ind w:right="0" w:left="84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豹子：三个骰子点数相同；</w:t>
      </w:r>
    </w:p>
    <w:p>
      <w:pPr>
        <w:spacing w:before="0" w:after="0" w:line="240"/>
        <w:ind w:right="0" w:left="84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当筛盅结果为豹子，骰子点数总和不做计算，即此时只有投币豹子才算“胜”，“大”或“小”都算猜错。</w:t>
      </w:r>
    </w:p>
    <w:p>
      <w:pPr>
        <w:spacing w:before="0" w:after="0" w:line="240"/>
        <w:ind w:right="0" w:left="84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84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游戏概率：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101"/>
        <w:gridCol w:w="2693"/>
        <w:gridCol w:w="2410"/>
      </w:tblGrid>
      <w:tr>
        <w:trPr>
          <w:trHeight w:val="567" w:hRule="auto"/>
          <w:jc w:val="center"/>
        </w:trPr>
        <w:tc>
          <w:tcPr>
            <w:tcW w:w="11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480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类型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480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概率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480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赔率</w:t>
            </w:r>
          </w:p>
        </w:tc>
      </w:tr>
      <w:tr>
        <w:trPr>
          <w:trHeight w:val="1" w:hRule="atLeast"/>
          <w:jc w:val="center"/>
        </w:trPr>
        <w:tc>
          <w:tcPr>
            <w:tcW w:w="11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480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小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35/72  (</w:t>
            </w:r>
            <w:r>
              <w:rPr>
                <w:rFonts w:ascii="微软雅黑" w:hAnsi="微软雅黑" w:cs="微软雅黑" w:eastAsia="微软雅黑"/>
                <w:color w:val="333333"/>
                <w:spacing w:val="0"/>
                <w:position w:val="0"/>
                <w:sz w:val="21"/>
                <w:shd w:fill="FFFFFF" w:val="clear"/>
              </w:rPr>
              <w:t xml:space="preserve">48.61%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)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48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center"/>
        </w:trPr>
        <w:tc>
          <w:tcPr>
            <w:tcW w:w="11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480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大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35/72  (</w:t>
            </w:r>
            <w:r>
              <w:rPr>
                <w:rFonts w:ascii="微软雅黑" w:hAnsi="微软雅黑" w:cs="微软雅黑" w:eastAsia="微软雅黑"/>
                <w:color w:val="333333"/>
                <w:spacing w:val="0"/>
                <w:position w:val="0"/>
                <w:sz w:val="21"/>
                <w:shd w:fill="FFFFFF" w:val="clear"/>
              </w:rPr>
              <w:t xml:space="preserve">48.61%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)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48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center"/>
        </w:trPr>
        <w:tc>
          <w:tcPr>
            <w:tcW w:w="11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480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豹子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1/36   (</w:t>
            </w:r>
            <w:r>
              <w:rPr>
                <w:rFonts w:ascii="微软雅黑" w:hAnsi="微软雅黑" w:cs="微软雅黑" w:eastAsia="微软雅黑"/>
                <w:color w:val="333333"/>
                <w:spacing w:val="0"/>
                <w:position w:val="0"/>
                <w:sz w:val="21"/>
                <w:shd w:fill="FFFFFF" w:val="clear"/>
              </w:rPr>
              <w:t xml:space="preserve">2.78%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)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48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游戏流程：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