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24"/>
          <w:rFonts w:ascii="宋体" w:hAnsi="宋体" w:cs="宋体" w:eastAsia="宋体"/>
        </w:rPr>
        <w:t xml:space="preserve"> 院士庭超充站谐波电压统计表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参数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AB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BC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AC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限值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continue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平均值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95%值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平均值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95%值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平均值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95%值</w:t>
            </w:r>
          </w:p>
        </w:tc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基波电压(kV)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10.18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10.28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10.19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10.30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10.18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10.28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—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2至25次谐波电压含有率(%)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1.51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1.37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1.89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1.46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0.77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0.66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0.90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0.77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0.98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0.45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0.46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0.42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3.20</w:t>
            </w:r>
          </w:p>
        </w:tc>
      </w:tr>
      <w:tr>
        <w:trPr>
          <w:trHeight w:val="300"/>
        </w:trPr>
        <w:trPr>
          <w:trHeight w:val="300"/>
        </w:trPr>
        <w:trPr>
          <w:trHeight w:val="300"/>
        </w:trPr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电压总畸变率(%)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1.75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2.20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1.73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2.19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4.00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24"/>
          <w:rFonts w:ascii="宋体" w:hAnsi="宋体" w:cs="宋体" w:eastAsia="宋体"/>
        </w:rPr>
        <w:t xml:space="preserve"> 院士庭超充站谐波电流统计表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参数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A相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B相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C相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限值</w:t>
            </w: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限值(0.66MVA)</w:t>
            </w: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限值(150MVA)</w:t>
            </w: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continue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平均值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95%值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平均值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95%值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平均值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95%值</w:t>
            </w:r>
          </w:p>
        </w:tc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基波电流(A)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12.43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34.93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13.58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38.53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13.36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37.31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—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—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—</w:t>
            </w: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2至25次谐波电流含有率(%)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19.00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3.97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9.50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0.44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0.53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5.05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6.21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5.54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4.68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4.97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3.73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0.83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0.78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5.69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3.14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0.48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0.75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5.31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2.70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2.34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0.55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0.50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0.56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4.38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3.95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1.90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2.12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1.68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3.29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1.53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jc w:val="center"/>
      </w:pPr>
      <w:r>
        <w:rPr>
          <w:sz w:val="24"/>
          <w:rFonts w:ascii="宋体" w:hAnsi="宋体" w:cs="宋体" w:eastAsia="宋体"/>
        </w:rPr>
        <w:t xml:space="preserve"> 院士庭超充站频率偏差、三相电压不平衡度及长时间闪变统计表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参数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最大值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平均值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最小值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95%值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限值</w:t>
            </w: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频率(Hz)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50.06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50.00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49.93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49.95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0.20 / -0.20</w:t>
            </w: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三相电压不平衡度(%)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0.03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2.00</w:t>
            </w: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长时间闪变(Plt)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AB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0.12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1.00</w:t>
            </w: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BC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0.25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1.00</w:t>
            </w: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AC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0.51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0.08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0.05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0.11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1.00</w:t>
            </w:r>
          </w:p>
        </w:tc>
      </w:tr>
    </w:tbl>
    <w:p>
      <w:r>
        <w:br w:type="page"/>
      </w:r>
    </w:p>
    <w:p>
      <w:pPr>
        <w:jc w:val="center"/>
      </w:pPr>
      <w:r>
        <w:rPr>
          <w:sz w:val="24"/>
          <w:rFonts w:ascii="宋体" w:hAnsi="宋体" w:cs="宋体" w:eastAsia="宋体"/>
        </w:rPr>
        <w:t xml:space="preserve"> 院士庭超充站电压偏差统计表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参数</w:t>
            </w: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AB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BC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AC</w:t>
            </w:r>
          </w:p>
        </w:tc>
        <w:tc>
          <w:tcPr>
            <w:tcW w:w="600"/>
            <w:hMerge w:val="continue"/>
            <w:vMerge w:val="restart"/>
            <w:vAlign w:val="center"/>
          </w:tcPr>
          <w:p>
            <w:pPr>
              <w:jc w:val="center"/>
            </w:pPr>
          </w:p>
        </w:tc>
        <w:tc>
          <w:tcPr>
            <w:tcW w:w="600"/>
            <w:hMerge w:val="restart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限值</w:t>
            </w: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最大值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最小值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最大值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最小值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最大值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最小值</w:t>
            </w:r>
          </w:p>
        </w:tc>
        <w:tc>
          <w:tcPr>
            <w:tcW w:w="600"/>
            <w:hMerge w:val="restart"/>
            <w:vMerge w:val="continue"/>
            <w:vAlign w:val="center"/>
          </w:tcPr>
          <w:p>
            <w:pPr>
              <w:jc w:val="center"/>
            </w:pP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上偏差(%)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3.66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3.74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0.46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3.77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0.39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7.00</w:t>
            </w:r>
          </w:p>
        </w:tc>
      </w:tr>
      <w:tr>
        <w:trPr>
          <w:trHeight w:val="300"/>
        </w:trPr>
        <w:trPr>
          <w:trHeight w:val="300"/>
        </w:trPr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下偏差(%)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0.00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sz w:val="18"/>
                <w:rFonts w:eastAsia="宋体" w:ascii="Times New Roman" w:hAnsi="Times New Roman"/>
              </w:rPr>
              <w:t>-7.00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2025-06-17T11:03:55Z</dcterms:created>
  <dc:creator>Apache POI</dc:creator>
</cp:coreProperties>
</file>