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58C9" w14:textId="0A21303D" w:rsidR="00220C1C" w:rsidRDefault="00C21F80" w:rsidP="00C21F80">
      <w:pPr>
        <w:rPr>
          <w:rFonts w:hint="eastAsia"/>
        </w:rPr>
      </w:pPr>
      <w:r>
        <w:rPr>
          <w:rFonts w:hint="eastAsia"/>
        </w:rPr>
        <w:t>自长旗袍盛行，齐膝涧之知旗袍，渐有退化之趋势，以长旗袍而外加以大笔，所谓长袍短套，前清时代之节衣外套，今乃盛行于女界矣。惟长旗袍往往客紧两腿，因是又想出两法，一为穿大脚管之裤子，于是各种艳丽之裤子，又盛行于时，乃有镶以镀金错采之花边者，然雅静者不喜此也。一为流行一种长马甲，恒以白色之纺绸或印度绸为之，缘以白色之花边，其长与其长旗袍等，而肩上则环以带，是宜于夏。古者「振绮」，必表面出之，盖亦含有古风也。惟胸其宽博，不事束缚，自小马甲之束胸，一变而为长马甲，足见妇女服装之在进化也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256"/>
    <w:rsid w:val="00220C1C"/>
    <w:rsid w:val="00C21F80"/>
    <w:rsid w:val="00C55021"/>
    <w:rsid w:val="00DE3256"/>
    <w:rsid w:val="00E8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4439ED"/>
  <w15:chartTrackingRefBased/>
  <w15:docId w15:val="{0EA31D6F-8E15-4DBC-8735-35917CDB4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32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2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25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25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25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2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2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2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325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3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3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325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325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E325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32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32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32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32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3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2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32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32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32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32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325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3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325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3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2026-07-06T13:21:00Z</dcterms:created>
  <dcterms:modified xsi:type="dcterms:W3CDTF">2026-07-06T13:22:00Z</dcterms:modified>
</cp:coreProperties>
</file>