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实行服制条例</w:t>
      </w:r>
    </w:p>
    <w:p>
      <w:r>
        <w:t xml:space="preserve">实行服制条例施行细则无须必要详明、自无须复用施行细则之必要、除再咨令转饬出示布告外、仰即知照此批、中华国货维持会颁内政部礼字第一号批开、呈一件、为江浙丝织业衰落影响国家经济、请迅定服制条例限用国货施行细则通令实行由、漾代电悉查限用国货业于服制条例内第六条明文规定、颁布后曾分别咨令各省市暨民政厅转饬所属一体遵照用旋又通饬各机关人员服国货服制以示提倡、并据真代电陈到部、复行通令各在案、至请求制定施行细则一节不无误会之处凡一法令既经专条订定</w:t>
      </w:r>
    </w:p>
    <w:sectPr>
      <w:pgSz w:w="11906" w:h="16838"/>
      <w:pgMar w:top="1440" w:right="1440" w:bottom="1440" w:left="1440"/>
    </w:sectPr>
  </w:body>
</w:document>
</file>

<file path=word/styles.xml><?xml version="1.0" encoding="utf-8"?>
<w:styles xmlns:w="http://schemas.openxmlformats.org/wordprocessingml/2006/main">
  <w:style w:type="paragraph" w:default="1" w:styleId="Normal">
    <w:name w:val="Normal"/>
    <w:rPr>
      <w:rFonts w:eastAsia="宋体"/>
      <w:sz w:val="24"/>
    </w:rPr>
  </w:style>
  <w:style w:type="paragraph" w:styleId="Title">
    <w:name w:val="Title"/>
    <w:basedOn w:val="Normal"/>
    <w:pPr>
      <w:jc w:val="center"/>
    </w:pPr>
    <w:rPr>
      <w:b/>
      <w:sz w:val="3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