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商界小新闻</w:t>
      </w:r>
    </w:p>
    <w:p>
      <w:r>
        <w:t xml:space="preserve">商界小新闻▲恒兴应时布疋特别平沾。</w:t>
      </w:r>
    </w:p>
    <w:p>
      <w:r>
        <w:t xml:space="preserve">虹口天潼路广东街头坝浪恒兴号、日昨新到各款应时布疋一大批、售价极康、如各色国货府绸、丝光充足、耐用坚牢、每尺减沽二角、全白正蔴纱每尺沽二角二分、时花新民纺极合时装女郎旗袍所用、每尺减沽四角半、各种新式花蔴纱、一后减沽每尺一角八分、织花府绸减沽每尺二角五分、国货树皮布减沽每尺八分、连日购客甚众、门市颇形热闹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宋体"/>
      <w:sz w:val="24"/>
    </w:rPr>
  </w:style>
  <w:style w:type="paragraph" w:styleId="Title">
    <w:name w:val="Title"/>
    <w:basedOn w:val="Normal"/>
    <w:pPr>
      <w:jc w:val="center"/>
    </w:pPr>
    <w:rPr>
      <w:b/>
      <w:sz w:val="3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