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36B3" w14:textId="77777777" w:rsidR="004712C8" w:rsidRPr="006F3586" w:rsidRDefault="00000000" w:rsidP="006F3586">
      <w:pPr>
        <w:pStyle w:val="aa"/>
        <w:suppressLineNumbers/>
        <w:suppressAutoHyphens/>
        <w:overflowPunct w:val="0"/>
        <w:rPr>
          <w:b w:val="0"/>
          <w:lang w:eastAsia="zh-CN"/>
        </w:rPr>
      </w:pPr>
      <w:proofErr w:type="spellStart"/>
      <w:r w:rsidRPr="006F3586">
        <w:rPr>
          <w:rFonts w:cs="Arial"/>
          <w:b w:val="0"/>
          <w:lang w:eastAsia="zh-CN"/>
        </w:rPr>
        <w:t>Hyperliquid</w:t>
      </w:r>
      <w:proofErr w:type="spellEnd"/>
      <w:r w:rsidRPr="006F3586">
        <w:rPr>
          <w:rFonts w:cs="Arial"/>
          <w:b w:val="0"/>
          <w:lang w:eastAsia="zh-CN"/>
        </w:rPr>
        <w:t xml:space="preserve"> </w:t>
      </w:r>
      <w:r w:rsidRPr="006F3586">
        <w:rPr>
          <w:rFonts w:cs="Arial"/>
          <w:b w:val="0"/>
          <w:lang w:eastAsia="zh-CN"/>
        </w:rPr>
        <w:t>策略研究与配置尽调</w:t>
      </w:r>
    </w:p>
    <w:p w14:paraId="1A3B63BF" w14:textId="77777777" w:rsidR="004712C8" w:rsidRPr="006F3586" w:rsidRDefault="00000000" w:rsidP="006F3586">
      <w:pPr>
        <w:pStyle w:val="ac"/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资金费率策略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协议金库与</w:t>
      </w:r>
      <w:proofErr w:type="gramStart"/>
      <w:r w:rsidRPr="006F3586">
        <w:rPr>
          <w:rFonts w:cs="Arial"/>
          <w:lang w:eastAsia="zh-CN"/>
        </w:rPr>
        <w:t>跨资产</w:t>
      </w:r>
      <w:proofErr w:type="gramEnd"/>
      <w:r w:rsidRPr="006F3586">
        <w:rPr>
          <w:rFonts w:cs="Arial"/>
          <w:lang w:eastAsia="zh-CN"/>
        </w:rPr>
        <w:t>相对价值</w:t>
      </w:r>
    </w:p>
    <w:p w14:paraId="736E4D75" w14:textId="77777777" w:rsidR="004712C8" w:rsidRPr="006F3586" w:rsidRDefault="00000000" w:rsidP="006F3586">
      <w:pPr>
        <w:keepNext/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sz w:val="19"/>
          <w:lang w:eastAsia="zh-CN"/>
        </w:rPr>
        <w:t>历史数据截止日</w:t>
      </w:r>
      <w:r w:rsidRPr="006F3586">
        <w:rPr>
          <w:rFonts w:cs="Arial"/>
          <w:sz w:val="19"/>
          <w:lang w:eastAsia="zh-CN"/>
        </w:rPr>
        <w:t xml:space="preserve"> 2026 </w:t>
      </w:r>
      <w:r w:rsidRPr="006F3586">
        <w:rPr>
          <w:rFonts w:cs="Arial"/>
          <w:sz w:val="19"/>
          <w:lang w:eastAsia="zh-CN"/>
        </w:rPr>
        <w:t>年</w:t>
      </w:r>
      <w:r w:rsidRPr="006F3586">
        <w:rPr>
          <w:rFonts w:cs="Arial"/>
          <w:sz w:val="19"/>
          <w:lang w:eastAsia="zh-CN"/>
        </w:rPr>
        <w:t xml:space="preserve"> 8 </w:t>
      </w:r>
      <w:r w:rsidRPr="006F3586">
        <w:rPr>
          <w:rFonts w:cs="Arial"/>
          <w:sz w:val="19"/>
          <w:lang w:eastAsia="zh-CN"/>
        </w:rPr>
        <w:t>月</w:t>
      </w:r>
      <w:r w:rsidRPr="006F3586">
        <w:rPr>
          <w:rFonts w:cs="Arial"/>
          <w:sz w:val="19"/>
          <w:lang w:eastAsia="zh-CN"/>
        </w:rPr>
        <w:t xml:space="preserve"> 31 </w:t>
      </w:r>
      <w:r w:rsidRPr="006F3586">
        <w:rPr>
          <w:rFonts w:cs="Arial"/>
          <w:sz w:val="19"/>
          <w:lang w:eastAsia="zh-CN"/>
        </w:rPr>
        <w:t>日</w:t>
      </w:r>
      <w:r w:rsidRPr="006F3586">
        <w:rPr>
          <w:rFonts w:cs="Arial"/>
          <w:sz w:val="19"/>
          <w:lang w:eastAsia="zh-CN"/>
        </w:rPr>
        <w:t xml:space="preserve"> UTC · </w:t>
      </w:r>
      <w:r w:rsidRPr="006F3586">
        <w:rPr>
          <w:rFonts w:cs="Arial"/>
          <w:sz w:val="19"/>
          <w:lang w:eastAsia="zh-CN"/>
        </w:rPr>
        <w:t>研究版本</w:t>
      </w:r>
      <w:r w:rsidRPr="006F3586">
        <w:rPr>
          <w:rFonts w:cs="Arial"/>
          <w:sz w:val="19"/>
          <w:lang w:eastAsia="zh-CN"/>
        </w:rPr>
        <w:t xml:space="preserve"> 2026 </w:t>
      </w:r>
      <w:r w:rsidRPr="006F3586">
        <w:rPr>
          <w:rFonts w:cs="Arial"/>
          <w:sz w:val="19"/>
          <w:lang w:eastAsia="zh-CN"/>
        </w:rPr>
        <w:t>年</w:t>
      </w:r>
      <w:r w:rsidRPr="006F3586">
        <w:rPr>
          <w:rFonts w:cs="Arial"/>
          <w:sz w:val="19"/>
          <w:lang w:eastAsia="zh-CN"/>
        </w:rPr>
        <w:t xml:space="preserve"> 9 </w:t>
      </w:r>
      <w:r w:rsidRPr="006F3586">
        <w:rPr>
          <w:rFonts w:cs="Arial"/>
          <w:sz w:val="19"/>
          <w:lang w:eastAsia="zh-CN"/>
        </w:rPr>
        <w:t>月</w:t>
      </w:r>
      <w:r w:rsidRPr="006F3586">
        <w:rPr>
          <w:rFonts w:cs="Arial"/>
          <w:sz w:val="19"/>
          <w:lang w:eastAsia="zh-CN"/>
        </w:rPr>
        <w:t xml:space="preserve"> 16 </w:t>
      </w:r>
      <w:r w:rsidRPr="006F3586">
        <w:rPr>
          <w:rFonts w:cs="Arial"/>
          <w:sz w:val="19"/>
          <w:lang w:eastAsia="zh-CN"/>
        </w:rPr>
        <w:t>日</w:t>
      </w:r>
    </w:p>
    <w:p w14:paraId="699E6EBF" w14:textId="77777777" w:rsidR="004712C8" w:rsidRPr="006F3586" w:rsidRDefault="00000000" w:rsidP="006F3586">
      <w:pPr>
        <w:pStyle w:val="1"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 xml:space="preserve">1 </w:t>
      </w:r>
      <w:r w:rsidRPr="006F3586">
        <w:rPr>
          <w:rFonts w:cs="Arial"/>
          <w:b w:val="0"/>
          <w:bCs w:val="0"/>
          <w:lang w:eastAsia="zh-CN"/>
        </w:rPr>
        <w:t>核心结论与配置判断</w:t>
      </w:r>
    </w:p>
    <w:p w14:paraId="7E0B8F4B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proofErr w:type="spellStart"/>
      <w:r w:rsidRPr="006F3586">
        <w:rPr>
          <w:rFonts w:cs="Arial"/>
          <w:lang w:eastAsia="zh-CN"/>
        </w:rPr>
        <w:t>Hyperliquid</w:t>
      </w:r>
      <w:proofErr w:type="spellEnd"/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提供了可观察的资金费收付记录与协议金库表现，但现有证据仅支持有选择地推进尽调，尚不足以批准配置。本报告以官方数据为基础，以</w:t>
      </w:r>
      <w:r w:rsidRPr="006F3586">
        <w:rPr>
          <w:rFonts w:cs="Arial"/>
          <w:lang w:eastAsia="zh-CN"/>
        </w:rPr>
        <w:t xml:space="preserve"> </w:t>
      </w:r>
      <w:proofErr w:type="spellStart"/>
      <w:r w:rsidRPr="006F3586">
        <w:rPr>
          <w:rFonts w:cs="Arial"/>
          <w:lang w:eastAsia="zh-CN"/>
        </w:rPr>
        <w:t>Messari</w:t>
      </w:r>
      <w:proofErr w:type="spellEnd"/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研究为背景，评估收益质量、执行容量及风险控制要求。</w:t>
      </w:r>
    </w:p>
    <w:p w14:paraId="1C851E65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资金费率收益取决于实施方式。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在配置</w:t>
      </w:r>
      <w:r w:rsidRPr="006F3586">
        <w:rPr>
          <w:rFonts w:cs="Arial"/>
          <w:lang w:eastAsia="zh-CN"/>
        </w:rPr>
        <w:t xml:space="preserve"> 100,000 USDC </w:t>
      </w:r>
      <w:r w:rsidRPr="006F3586">
        <w:rPr>
          <w:rFonts w:cs="Arial"/>
          <w:lang w:eastAsia="zh-CN"/>
        </w:rPr>
        <w:t>的基准模型中，被动策略扣除估计成本后的回报为</w:t>
      </w:r>
      <w:r w:rsidRPr="006F3586">
        <w:rPr>
          <w:rFonts w:cs="Arial"/>
          <w:lang w:eastAsia="zh-CN"/>
        </w:rPr>
        <w:t xml:space="preserve"> +1.93%</w:t>
      </w:r>
      <w:r w:rsidRPr="006F3586">
        <w:rPr>
          <w:rFonts w:cs="Arial"/>
          <w:lang w:eastAsia="zh-CN"/>
        </w:rPr>
        <w:t>，指定进出场规则的回报为</w:t>
      </w:r>
      <w:r w:rsidRPr="006F3586">
        <w:rPr>
          <w:rFonts w:cs="Arial"/>
          <w:lang w:eastAsia="zh-CN"/>
        </w:rPr>
        <w:t xml:space="preserve"> −1.83%</w:t>
      </w:r>
      <w:r w:rsidRPr="006F3586">
        <w:rPr>
          <w:rFonts w:cs="Arial"/>
          <w:lang w:eastAsia="zh-CN"/>
        </w:rPr>
        <w:t>。成本分别消耗正毛损益的</w:t>
      </w:r>
      <w:r w:rsidRPr="006F3586">
        <w:rPr>
          <w:rFonts w:cs="Arial"/>
          <w:lang w:eastAsia="zh-CN"/>
        </w:rPr>
        <w:t xml:space="preserve"> 22.4% </w:t>
      </w:r>
      <w:r w:rsidRPr="006F3586">
        <w:rPr>
          <w:rFonts w:cs="Arial"/>
          <w:lang w:eastAsia="zh-CN"/>
        </w:rPr>
        <w:t>和</w:t>
      </w:r>
      <w:r w:rsidRPr="006F3586">
        <w:rPr>
          <w:rFonts w:cs="Arial"/>
          <w:lang w:eastAsia="zh-CN"/>
        </w:rPr>
        <w:t xml:space="preserve"> 224.6%</w:t>
      </w:r>
      <w:r w:rsidRPr="006F3586">
        <w:rPr>
          <w:rFonts w:cs="Arial"/>
          <w:lang w:eastAsia="zh-CN"/>
        </w:rPr>
        <w:t>。低换手方案值得继续验证，当前规则版本暂不宜推进。</w:t>
      </w:r>
    </w:p>
    <w:p w14:paraId="39EBBCC4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HLP </w:t>
      </w:r>
      <w:r w:rsidRPr="006F3586">
        <w:rPr>
          <w:rFonts w:cs="Arial"/>
          <w:lang w:eastAsia="zh-CN"/>
        </w:rPr>
        <w:t>需要进一步解释收益来源。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基于</w:t>
      </w:r>
      <w:r w:rsidRPr="006F3586">
        <w:rPr>
          <w:rFonts w:cs="Arial"/>
          <w:lang w:eastAsia="zh-CN"/>
        </w:rPr>
        <w:t xml:space="preserve"> 48 </w:t>
      </w:r>
      <w:proofErr w:type="gramStart"/>
      <w:r w:rsidRPr="006F3586">
        <w:rPr>
          <w:rFonts w:cs="Arial"/>
          <w:lang w:eastAsia="zh-CN"/>
        </w:rPr>
        <w:t>个</w:t>
      </w:r>
      <w:proofErr w:type="gramEnd"/>
      <w:r w:rsidRPr="006F3586">
        <w:rPr>
          <w:rFonts w:cs="Arial"/>
          <w:lang w:eastAsia="zh-CN"/>
        </w:rPr>
        <w:t>不规则估值点，现金</w:t>
      </w:r>
      <w:proofErr w:type="gramStart"/>
      <w:r w:rsidRPr="006F3586">
        <w:rPr>
          <w:rFonts w:cs="Arial"/>
          <w:lang w:eastAsia="zh-CN"/>
        </w:rPr>
        <w:t>流调整</w:t>
      </w:r>
      <w:proofErr w:type="gramEnd"/>
      <w:r w:rsidRPr="006F3586">
        <w:rPr>
          <w:rFonts w:cs="Arial"/>
          <w:lang w:eastAsia="zh-CN"/>
        </w:rPr>
        <w:t>后的近似回报为</w:t>
      </w:r>
      <w:r w:rsidRPr="006F3586">
        <w:rPr>
          <w:rFonts w:cs="Arial"/>
          <w:lang w:eastAsia="zh-CN"/>
        </w:rPr>
        <w:t xml:space="preserve"> +18.44%</w:t>
      </w:r>
      <w:r w:rsidRPr="006F3586">
        <w:rPr>
          <w:rFonts w:cs="Arial"/>
          <w:lang w:eastAsia="zh-CN"/>
        </w:rPr>
        <w:t>，但两个区间贡献了累计对数收益的</w:t>
      </w:r>
      <w:r w:rsidRPr="006F3586">
        <w:rPr>
          <w:rFonts w:cs="Arial"/>
          <w:lang w:eastAsia="zh-CN"/>
        </w:rPr>
        <w:t xml:space="preserve"> 94.9%</w:t>
      </w:r>
      <w:r w:rsidRPr="006F3586">
        <w:rPr>
          <w:rFonts w:cs="Arial"/>
          <w:lang w:eastAsia="zh-CN"/>
        </w:rPr>
        <w:t>。这支持进一步开展协议尽调，尚不能证明收益可持续或属于可复制的做市</w:t>
      </w:r>
      <w:r w:rsidRPr="006F3586">
        <w:rPr>
          <w:rFonts w:cs="Arial"/>
          <w:lang w:eastAsia="zh-CN"/>
        </w:rPr>
        <w:t xml:space="preserve"> alpha</w:t>
      </w:r>
      <w:r w:rsidRPr="006F3586">
        <w:rPr>
          <w:rFonts w:cs="Arial"/>
          <w:lang w:eastAsia="zh-CN"/>
        </w:rPr>
        <w:t>。</w:t>
      </w:r>
    </w:p>
    <w:p w14:paraId="693F8A40" w14:textId="77777777" w:rsidR="00FC05FD" w:rsidRDefault="00000000" w:rsidP="006F3586">
      <w:pPr>
        <w:suppressLineNumbers/>
        <w:suppressAutoHyphens/>
        <w:overflowPunct w:val="0"/>
        <w:rPr>
          <w:rFonts w:eastAsia="宋体"/>
          <w:lang w:eastAsia="zh-CN"/>
        </w:rPr>
      </w:pPr>
      <w:r w:rsidRPr="006F3586">
        <w:rPr>
          <w:rFonts w:cs="Arial"/>
          <w:lang w:eastAsia="zh-CN"/>
        </w:rPr>
        <w:t>策略容量尚未得到证实。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加入</w:t>
      </w:r>
      <w:proofErr w:type="gramStart"/>
      <w:r w:rsidRPr="006F3586">
        <w:rPr>
          <w:rFonts w:cs="Arial"/>
          <w:lang w:eastAsia="zh-CN"/>
        </w:rPr>
        <w:t>随规模</w:t>
      </w:r>
      <w:proofErr w:type="gramEnd"/>
      <w:r w:rsidRPr="006F3586">
        <w:rPr>
          <w:rFonts w:cs="Arial"/>
          <w:lang w:eastAsia="zh-CN"/>
        </w:rPr>
        <w:t>变化的冲击成本后，被动策略在</w:t>
      </w:r>
      <w:r w:rsidRPr="006F3586">
        <w:rPr>
          <w:rFonts w:cs="Arial"/>
          <w:lang w:eastAsia="zh-CN"/>
        </w:rPr>
        <w:t xml:space="preserve"> 100,000 USDC </w:t>
      </w:r>
      <w:r w:rsidRPr="006F3586">
        <w:rPr>
          <w:rFonts w:cs="Arial"/>
          <w:lang w:eastAsia="zh-CN"/>
        </w:rPr>
        <w:t>下的回报降至</w:t>
      </w:r>
      <w:r w:rsidRPr="006F3586">
        <w:rPr>
          <w:rFonts w:cs="Arial"/>
          <w:lang w:eastAsia="zh-CN"/>
        </w:rPr>
        <w:t xml:space="preserve"> 1.83%</w:t>
      </w:r>
      <w:r w:rsidRPr="006F3586">
        <w:rPr>
          <w:rFonts w:cs="Arial"/>
          <w:lang w:eastAsia="zh-CN"/>
        </w:rPr>
        <w:t>，在</w:t>
      </w:r>
      <w:r w:rsidRPr="006F3586">
        <w:rPr>
          <w:rFonts w:cs="Arial"/>
          <w:lang w:eastAsia="zh-CN"/>
        </w:rPr>
        <w:t xml:space="preserve"> 1,000 </w:t>
      </w:r>
      <w:r w:rsidRPr="006F3586">
        <w:rPr>
          <w:rFonts w:cs="Arial"/>
          <w:lang w:eastAsia="zh-CN"/>
        </w:rPr>
        <w:t>万</w:t>
      </w:r>
      <w:r w:rsidRPr="006F3586">
        <w:rPr>
          <w:rFonts w:cs="Arial"/>
          <w:lang w:eastAsia="zh-CN"/>
        </w:rPr>
        <w:t xml:space="preserve"> USDC </w:t>
      </w:r>
      <w:r w:rsidRPr="006F3586">
        <w:rPr>
          <w:rFonts w:cs="Arial"/>
          <w:lang w:eastAsia="zh-CN"/>
        </w:rPr>
        <w:t>下为</w:t>
      </w:r>
      <w:r w:rsidRPr="006F3586">
        <w:rPr>
          <w:rFonts w:cs="Arial"/>
          <w:lang w:eastAsia="zh-CN"/>
        </w:rPr>
        <w:t xml:space="preserve"> 0.98%</w:t>
      </w:r>
      <w:r w:rsidRPr="006F3586">
        <w:rPr>
          <w:rFonts w:cs="Arial"/>
          <w:lang w:eastAsia="zh-CN"/>
        </w:rPr>
        <w:t>。全部中心情景均未达到示例性的</w:t>
      </w:r>
      <w:r w:rsidRPr="006F3586">
        <w:rPr>
          <w:rFonts w:cs="Arial"/>
          <w:lang w:eastAsia="zh-CN"/>
        </w:rPr>
        <w:t xml:space="preserve"> 2% </w:t>
      </w:r>
      <w:r w:rsidRPr="006F3586">
        <w:rPr>
          <w:rFonts w:cs="Arial"/>
          <w:lang w:eastAsia="zh-CN"/>
        </w:rPr>
        <w:t>年度门槛。</w:t>
      </w:r>
      <w:r w:rsidRPr="006F3586">
        <w:rPr>
          <w:rFonts w:cs="Arial"/>
          <w:lang w:eastAsia="zh-CN"/>
        </w:rPr>
        <w:t xml:space="preserve">100,000 USDC </w:t>
      </w:r>
      <w:r w:rsidRPr="006F3586">
        <w:rPr>
          <w:rFonts w:cs="Arial"/>
          <w:lang w:eastAsia="zh-CN"/>
        </w:rPr>
        <w:t>的压力退出时间代理指标</w:t>
      </w:r>
      <w:r w:rsidRPr="006F3586">
        <w:rPr>
          <w:rFonts w:cs="Arial"/>
          <w:lang w:eastAsia="zh-CN"/>
        </w:rPr>
        <w:t xml:space="preserve"> P95 </w:t>
      </w:r>
      <w:r w:rsidRPr="006F3586">
        <w:rPr>
          <w:rFonts w:cs="Arial"/>
          <w:lang w:eastAsia="zh-CN"/>
        </w:rPr>
        <w:t>为</w:t>
      </w:r>
      <w:r w:rsidRPr="006F3586">
        <w:rPr>
          <w:rFonts w:cs="Arial"/>
          <w:lang w:eastAsia="zh-CN"/>
        </w:rPr>
        <w:t xml:space="preserve"> 44 </w:t>
      </w:r>
      <w:r w:rsidRPr="006F3586">
        <w:rPr>
          <w:rFonts w:cs="Arial"/>
          <w:lang w:eastAsia="zh-CN"/>
        </w:rPr>
        <w:t>小时，超过拟定的</w:t>
      </w:r>
      <w:r w:rsidRPr="006F3586">
        <w:rPr>
          <w:rFonts w:cs="Arial"/>
          <w:lang w:eastAsia="zh-CN"/>
        </w:rPr>
        <w:t xml:space="preserve"> 24 </w:t>
      </w:r>
      <w:r w:rsidRPr="006F3586">
        <w:rPr>
          <w:rFonts w:cs="Arial"/>
          <w:lang w:eastAsia="zh-CN"/>
        </w:rPr>
        <w:t>小时要求。</w:t>
      </w:r>
    </w:p>
    <w:p w14:paraId="4EA8D518" w14:textId="77777777" w:rsidR="00FC05FD" w:rsidRDefault="00000000" w:rsidP="006F3586">
      <w:pPr>
        <w:suppressLineNumbers/>
        <w:suppressAutoHyphens/>
        <w:overflowPunct w:val="0"/>
        <w:rPr>
          <w:rFonts w:eastAsia="宋体"/>
          <w:lang w:eastAsia="zh-CN"/>
        </w:rPr>
      </w:pPr>
      <w:proofErr w:type="gramStart"/>
      <w:r w:rsidRPr="006F3586">
        <w:rPr>
          <w:rFonts w:cs="Arial"/>
          <w:lang w:eastAsia="zh-CN"/>
        </w:rPr>
        <w:t>跨资产对冲受</w:t>
      </w:r>
      <w:proofErr w:type="gramEnd"/>
      <w:r w:rsidRPr="006F3586">
        <w:rPr>
          <w:rFonts w:cs="Arial"/>
          <w:lang w:eastAsia="zh-CN"/>
        </w:rPr>
        <w:t>交易时段约束。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所选周末日历下，仅允许常规时段交易的</w:t>
      </w:r>
      <w:r w:rsidRPr="006F3586">
        <w:rPr>
          <w:rFonts w:cs="Arial"/>
          <w:lang w:eastAsia="zh-CN"/>
        </w:rPr>
        <w:t xml:space="preserve"> TSLA </w:t>
      </w:r>
      <w:proofErr w:type="gramStart"/>
      <w:r w:rsidRPr="006F3586">
        <w:rPr>
          <w:rFonts w:cs="Arial"/>
          <w:lang w:eastAsia="zh-CN"/>
        </w:rPr>
        <w:t>对冲腿休市</w:t>
      </w:r>
      <w:proofErr w:type="gramEnd"/>
      <w:r w:rsidRPr="006F3586">
        <w:rPr>
          <w:rFonts w:cs="Arial"/>
          <w:lang w:eastAsia="zh-CN"/>
        </w:rPr>
        <w:t xml:space="preserve"> 65.5 </w:t>
      </w:r>
      <w:r w:rsidRPr="006F3586">
        <w:rPr>
          <w:rFonts w:cs="Arial"/>
          <w:lang w:eastAsia="zh-CN"/>
        </w:rPr>
        <w:t>小时，</w:t>
      </w:r>
      <w:r w:rsidRPr="006F3586">
        <w:rPr>
          <w:rFonts w:cs="Arial"/>
          <w:lang w:eastAsia="zh-CN"/>
        </w:rPr>
        <w:t xml:space="preserve">MGC </w:t>
      </w:r>
      <w:proofErr w:type="gramStart"/>
      <w:r w:rsidRPr="006F3586">
        <w:rPr>
          <w:rFonts w:cs="Arial"/>
          <w:lang w:eastAsia="zh-CN"/>
        </w:rPr>
        <w:t>对冲腿休市</w:t>
      </w:r>
      <w:proofErr w:type="gramEnd"/>
      <w:r w:rsidRPr="006F3586">
        <w:rPr>
          <w:rFonts w:cs="Arial"/>
          <w:lang w:eastAsia="zh-CN"/>
        </w:rPr>
        <w:t xml:space="preserve"> 49 </w:t>
      </w:r>
      <w:r w:rsidRPr="006F3586">
        <w:rPr>
          <w:rFonts w:cs="Arial"/>
          <w:lang w:eastAsia="zh-CN"/>
        </w:rPr>
        <w:t>小时。休市期间的价格发现本身不能证明套利能够执行。</w:t>
      </w:r>
    </w:p>
    <w:p w14:paraId="589D0210" w14:textId="4EB3469D" w:rsidR="004712C8" w:rsidRPr="00FC05FD" w:rsidRDefault="00000000" w:rsidP="006F3586">
      <w:pPr>
        <w:suppressLineNumbers/>
        <w:suppressAutoHyphens/>
        <w:overflowPunct w:val="0"/>
        <w:rPr>
          <w:rFonts w:eastAsia="宋体"/>
          <w:lang w:eastAsia="zh-CN"/>
        </w:rPr>
      </w:pPr>
      <w:proofErr w:type="gramStart"/>
      <w:r w:rsidRPr="006F3586">
        <w:rPr>
          <w:rFonts w:cs="Arial"/>
          <w:lang w:eastAsia="zh-CN"/>
        </w:rPr>
        <w:t>被动资金</w:t>
      </w:r>
      <w:proofErr w:type="gramEnd"/>
      <w:r w:rsidRPr="006F3586">
        <w:rPr>
          <w:rFonts w:cs="Arial"/>
          <w:lang w:eastAsia="zh-CN"/>
        </w:rPr>
        <w:t>费率策略与</w:t>
      </w:r>
      <w:r w:rsidRPr="006F3586">
        <w:rPr>
          <w:rFonts w:cs="Arial"/>
          <w:lang w:eastAsia="zh-CN"/>
        </w:rPr>
        <w:t xml:space="preserve"> HLP </w:t>
      </w:r>
      <w:r w:rsidRPr="006F3586">
        <w:rPr>
          <w:rFonts w:cs="Arial"/>
          <w:lang w:eastAsia="zh-CN"/>
        </w:rPr>
        <w:t>应优先补充验证。当前规则版本保留观察；普通公开金库缺少可比、已核验的业绩；</w:t>
      </w:r>
      <w:r w:rsidRPr="006F3586">
        <w:rPr>
          <w:rFonts w:cs="Arial"/>
          <w:lang w:eastAsia="zh-CN"/>
        </w:rPr>
        <w:t xml:space="preserve">HIP-3 </w:t>
      </w:r>
      <w:r w:rsidRPr="006F3586">
        <w:rPr>
          <w:rFonts w:cs="Arial"/>
          <w:lang w:eastAsia="zh-CN"/>
        </w:rPr>
        <w:t>暂限于机制与风险研究。上述分类是研究推进判断，不是投资建议，也不构成可直接比较的收益排名。</w:t>
      </w:r>
    </w:p>
    <w:p w14:paraId="1A64F5C2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2 </w:t>
      </w:r>
      <w:r w:rsidRPr="006F3586">
        <w:rPr>
          <w:rFonts w:cs="Arial"/>
          <w:b w:val="0"/>
          <w:bCs w:val="0"/>
          <w:lang w:eastAsia="zh-CN"/>
        </w:rPr>
        <w:t>样本范围与研究方法</w:t>
      </w:r>
    </w:p>
    <w:p w14:paraId="2E34D411" w14:textId="766AAD40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主要研究窗口为</w:t>
      </w:r>
      <w:r w:rsidRPr="006F3586">
        <w:rPr>
          <w:rFonts w:cs="Arial"/>
          <w:lang w:eastAsia="zh-CN"/>
        </w:rPr>
        <w:t xml:space="preserve"> 2025 </w:t>
      </w:r>
      <w:r w:rsidRPr="006F3586">
        <w:rPr>
          <w:rFonts w:cs="Arial"/>
          <w:lang w:eastAsia="zh-CN"/>
        </w:rPr>
        <w:t>年</w:t>
      </w:r>
      <w:r w:rsidRPr="006F3586">
        <w:rPr>
          <w:rFonts w:cs="Arial"/>
          <w:lang w:eastAsia="zh-CN"/>
        </w:rPr>
        <w:t xml:space="preserve"> 9 </w:t>
      </w:r>
      <w:r w:rsidRPr="006F3586">
        <w:rPr>
          <w:rFonts w:cs="Arial"/>
          <w:lang w:eastAsia="zh-CN"/>
        </w:rPr>
        <w:t>月</w:t>
      </w:r>
      <w:r w:rsidRPr="006F3586">
        <w:rPr>
          <w:rFonts w:cs="Arial"/>
          <w:lang w:eastAsia="zh-CN"/>
        </w:rPr>
        <w:t xml:space="preserve"> 1 </w:t>
      </w:r>
      <w:r w:rsidRPr="006F3586">
        <w:rPr>
          <w:rFonts w:cs="Arial"/>
          <w:lang w:eastAsia="zh-CN"/>
        </w:rPr>
        <w:t>日至</w:t>
      </w:r>
      <w:r w:rsidRPr="006F3586">
        <w:rPr>
          <w:rFonts w:cs="Arial"/>
          <w:lang w:eastAsia="zh-CN"/>
        </w:rPr>
        <w:t xml:space="preserve"> 2026 </w:t>
      </w:r>
      <w:r w:rsidRPr="006F3586">
        <w:rPr>
          <w:rFonts w:cs="Arial"/>
          <w:lang w:eastAsia="zh-CN"/>
        </w:rPr>
        <w:t>年</w:t>
      </w:r>
      <w:r w:rsidRPr="006F3586">
        <w:rPr>
          <w:rFonts w:cs="Arial"/>
          <w:lang w:eastAsia="zh-CN"/>
        </w:rPr>
        <w:t xml:space="preserve"> 8 </w:t>
      </w:r>
      <w:r w:rsidRPr="006F3586">
        <w:rPr>
          <w:rFonts w:cs="Arial"/>
          <w:lang w:eastAsia="zh-CN"/>
        </w:rPr>
        <w:t>月</w:t>
      </w:r>
      <w:r w:rsidRPr="006F3586">
        <w:rPr>
          <w:rFonts w:cs="Arial"/>
          <w:lang w:eastAsia="zh-CN"/>
        </w:rPr>
        <w:t xml:space="preserve"> 31 </w:t>
      </w:r>
      <w:r w:rsidRPr="006F3586">
        <w:rPr>
          <w:rFonts w:cs="Arial"/>
          <w:lang w:eastAsia="zh-CN"/>
        </w:rPr>
        <w:t>日</w:t>
      </w:r>
      <w:r w:rsidRPr="006F3586">
        <w:rPr>
          <w:rFonts w:cs="Arial"/>
          <w:lang w:eastAsia="zh-CN"/>
        </w:rPr>
        <w:t xml:space="preserve"> UTC</w:t>
      </w:r>
      <w:r w:rsidRPr="006F3586">
        <w:rPr>
          <w:rFonts w:cs="Arial"/>
          <w:lang w:eastAsia="zh-CN"/>
        </w:rPr>
        <w:t>。历史观测截至该日，数据提取及文档核验在</w:t>
      </w:r>
      <w:r w:rsidRPr="006F3586">
        <w:rPr>
          <w:rFonts w:cs="Arial"/>
          <w:lang w:eastAsia="zh-CN"/>
        </w:rPr>
        <w:t xml:space="preserve"> 9 </w:t>
      </w:r>
      <w:r w:rsidRPr="006F3586">
        <w:rPr>
          <w:rFonts w:cs="Arial"/>
          <w:lang w:eastAsia="zh-CN"/>
        </w:rPr>
        <w:t>月</w:t>
      </w:r>
      <w:r w:rsidRPr="006F3586">
        <w:rPr>
          <w:rFonts w:cs="Arial"/>
          <w:lang w:eastAsia="zh-CN"/>
        </w:rPr>
        <w:t xml:space="preserve"> 9–16 </w:t>
      </w:r>
      <w:r w:rsidRPr="006F3586">
        <w:rPr>
          <w:rFonts w:cs="Arial"/>
          <w:lang w:eastAsia="zh-CN"/>
        </w:rPr>
        <w:t>日进行。事后取数不能证明现行规则在历史期间同样有效。</w:t>
      </w:r>
      <w:r w:rsidR="00281B55" w:rsidRPr="006F3586">
        <w:rPr>
          <w:rFonts w:cs="Arial"/>
          <w:lang w:eastAsia="zh-CN"/>
        </w:rPr>
        <w:t>[1]</w:t>
      </w:r>
    </w:p>
    <w:p w14:paraId="3BB859AE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/>
      </w:pPr>
      <w:r w:rsidRPr="006F3586">
        <w:rPr>
          <w:rFonts w:cs="Arial"/>
          <w:lang w:eastAsia="zh-CN"/>
        </w:rPr>
        <w:t>表</w:t>
      </w:r>
      <w:r w:rsidRPr="006F3586">
        <w:rPr>
          <w:rFonts w:cs="Arial"/>
          <w:lang w:eastAsia="zh-CN"/>
        </w:rPr>
        <w:t xml:space="preserve"> 2.1 </w:t>
      </w:r>
      <w:r w:rsidRPr="006F3586">
        <w:rPr>
          <w:rFonts w:cs="Arial"/>
          <w:lang w:eastAsia="zh-CN"/>
        </w:rPr>
        <w:t>样本筛选与数据覆盖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232"/>
        <w:gridCol w:w="2491"/>
        <w:gridCol w:w="4965"/>
      </w:tblGrid>
      <w:tr w:rsidR="004712C8" w:rsidRPr="006F3586" w14:paraId="12131187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DF0"/>
            <w:vAlign w:val="center"/>
          </w:tcPr>
          <w:p w14:paraId="2A554952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研究对象</w:t>
            </w:r>
          </w:p>
        </w:tc>
        <w:tc>
          <w:tcPr>
            <w:tcW w:w="2491" w:type="dxa"/>
            <w:shd w:val="clear" w:color="auto" w:fill="E8EDF0"/>
            <w:vAlign w:val="center"/>
          </w:tcPr>
          <w:p w14:paraId="24EA91DA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选择原因</w:t>
            </w:r>
          </w:p>
        </w:tc>
        <w:tc>
          <w:tcPr>
            <w:tcW w:w="4965" w:type="dxa"/>
            <w:shd w:val="clear" w:color="auto" w:fill="E8EDF0"/>
            <w:vAlign w:val="center"/>
          </w:tcPr>
          <w:p w14:paraId="55EA2179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已核验覆盖及边界</w:t>
            </w:r>
          </w:p>
        </w:tc>
      </w:tr>
      <w:tr w:rsidR="004712C8" w:rsidRPr="006F3586" w14:paraId="2EC12C7B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0094111C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 xml:space="preserve">BTC </w:t>
            </w:r>
            <w:r w:rsidRPr="006F3586">
              <w:rPr>
                <w:rFonts w:cs="Arial"/>
                <w:sz w:val="20"/>
                <w:lang w:eastAsia="zh-CN"/>
              </w:rPr>
              <w:t>永续与</w:t>
            </w:r>
            <w:r w:rsidRPr="006F3586">
              <w:rPr>
                <w:rFonts w:cs="Arial"/>
                <w:sz w:val="20"/>
                <w:lang w:eastAsia="zh-CN"/>
              </w:rPr>
              <w:t xml:space="preserve"> UBTC/USDC</w:t>
            </w:r>
          </w:p>
        </w:tc>
        <w:tc>
          <w:tcPr>
            <w:tcW w:w="2491" w:type="dxa"/>
            <w:vAlign w:val="center"/>
          </w:tcPr>
          <w:p w14:paraId="4B6100F7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匹配标的，建立资金费率基准</w:t>
            </w:r>
          </w:p>
        </w:tc>
        <w:tc>
          <w:tcPr>
            <w:tcW w:w="4965" w:type="dxa"/>
            <w:vAlign w:val="center"/>
          </w:tcPr>
          <w:p w14:paraId="636EDA7F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每个工具各</w:t>
            </w:r>
            <w:r w:rsidRPr="006F3586">
              <w:rPr>
                <w:rFonts w:cs="Arial"/>
                <w:sz w:val="20"/>
                <w:lang w:eastAsia="zh-CN"/>
              </w:rPr>
              <w:t xml:space="preserve"> 365 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根日线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；</w:t>
            </w:r>
            <w:r w:rsidRPr="006F3586">
              <w:rPr>
                <w:rFonts w:cs="Arial"/>
                <w:sz w:val="20"/>
                <w:lang w:eastAsia="zh-CN"/>
              </w:rPr>
              <w:t xml:space="preserve">8,760 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个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小时资金费观测。仍需审查封装资产与赎回风险。</w:t>
            </w:r>
          </w:p>
        </w:tc>
      </w:tr>
      <w:tr w:rsidR="004712C8" w:rsidRPr="006F3586" w14:paraId="5EB24D76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43D4253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 xml:space="preserve">ETH </w:t>
            </w:r>
            <w:r w:rsidRPr="006F3586">
              <w:rPr>
                <w:rFonts w:cs="Arial"/>
                <w:sz w:val="20"/>
                <w:lang w:eastAsia="zh-CN"/>
              </w:rPr>
              <w:t>永续与</w:t>
            </w:r>
            <w:r w:rsidRPr="006F3586">
              <w:rPr>
                <w:rFonts w:cs="Arial"/>
                <w:sz w:val="20"/>
                <w:lang w:eastAsia="zh-CN"/>
              </w:rPr>
              <w:t xml:space="preserve"> UETH/USDC</w:t>
            </w:r>
          </w:p>
        </w:tc>
        <w:tc>
          <w:tcPr>
            <w:tcW w:w="2491" w:type="dxa"/>
            <w:vAlign w:val="center"/>
          </w:tcPr>
          <w:p w14:paraId="3CA41069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第二标的，用于比较实施差异</w:t>
            </w:r>
          </w:p>
        </w:tc>
        <w:tc>
          <w:tcPr>
            <w:tcW w:w="4965" w:type="dxa"/>
            <w:vAlign w:val="center"/>
          </w:tcPr>
          <w:p w14:paraId="7D1661C9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日线与小时资金费覆盖相同；历史可执行报价未核验。</w:t>
            </w:r>
          </w:p>
        </w:tc>
      </w:tr>
      <w:tr w:rsidR="004712C8" w:rsidRPr="006F3586" w14:paraId="1B852CC4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9528201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HLP</w:t>
            </w:r>
          </w:p>
        </w:tc>
        <w:tc>
          <w:tcPr>
            <w:tcW w:w="2491" w:type="dxa"/>
            <w:vAlign w:val="center"/>
          </w:tcPr>
          <w:p w14:paraId="6D524DE8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公开协议金库案例</w:t>
            </w:r>
          </w:p>
        </w:tc>
        <w:tc>
          <w:tcPr>
            <w:tcW w:w="4965" w:type="dxa"/>
            <w:vAlign w:val="center"/>
          </w:tcPr>
          <w:p w14:paraId="0983ACB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合并去重后</w:t>
            </w:r>
            <w:r w:rsidRPr="006F3586">
              <w:rPr>
                <w:rFonts w:cs="Arial"/>
                <w:sz w:val="20"/>
                <w:lang w:eastAsia="zh-CN"/>
              </w:rPr>
              <w:t xml:space="preserve"> 48 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个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估值点；</w:t>
            </w:r>
            <w:r w:rsidRPr="006F3586">
              <w:rPr>
                <w:rFonts w:cs="Arial"/>
                <w:sz w:val="20"/>
                <w:lang w:eastAsia="zh-CN"/>
              </w:rPr>
              <w:t xml:space="preserve">115,522 </w:t>
            </w:r>
            <w:r w:rsidRPr="006F3586">
              <w:rPr>
                <w:rFonts w:cs="Arial"/>
                <w:sz w:val="20"/>
                <w:lang w:eastAsia="zh-CN"/>
              </w:rPr>
              <w:t>条账本事件。回报仍为近似估计。</w:t>
            </w:r>
          </w:p>
        </w:tc>
      </w:tr>
      <w:tr w:rsidR="004712C8" w:rsidRPr="006F3586" w14:paraId="5EE7BD20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5F131798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普通公开金库</w:t>
            </w:r>
          </w:p>
        </w:tc>
        <w:tc>
          <w:tcPr>
            <w:tcW w:w="2491" w:type="dxa"/>
            <w:vAlign w:val="center"/>
          </w:tcPr>
          <w:p w14:paraId="7A7D0B7D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管理人筛选范围</w:t>
            </w:r>
          </w:p>
        </w:tc>
        <w:tc>
          <w:tcPr>
            <w:tcW w:w="4965" w:type="dxa"/>
            <w:vAlign w:val="center"/>
          </w:tcPr>
          <w:p w14:paraId="2A2EC27B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当前记录不等于历史准入名单；不作可比业绩排名。</w:t>
            </w:r>
          </w:p>
        </w:tc>
      </w:tr>
      <w:tr w:rsidR="004712C8" w:rsidRPr="006F3586" w14:paraId="21545567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B4F69A9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</w:pPr>
            <w:proofErr w:type="spellStart"/>
            <w:r w:rsidRPr="006F3586">
              <w:rPr>
                <w:rFonts w:cs="Arial"/>
                <w:sz w:val="20"/>
                <w:lang w:eastAsia="zh-CN"/>
              </w:rPr>
              <w:t>TradeXYZ</w:t>
            </w:r>
            <w:proofErr w:type="spellEnd"/>
            <w:r w:rsidRPr="006F3586">
              <w:rPr>
                <w:rFonts w:cs="Arial"/>
                <w:sz w:val="20"/>
                <w:lang w:eastAsia="zh-CN"/>
              </w:rPr>
              <w:t xml:space="preserve"> TSLA </w:t>
            </w:r>
            <w:r w:rsidRPr="006F3586">
              <w:rPr>
                <w:rFonts w:cs="Arial"/>
                <w:sz w:val="20"/>
                <w:lang w:eastAsia="zh-CN"/>
              </w:rPr>
              <w:t>与</w:t>
            </w:r>
            <w:r w:rsidRPr="006F3586">
              <w:rPr>
                <w:rFonts w:cs="Arial"/>
                <w:sz w:val="20"/>
                <w:lang w:eastAsia="zh-CN"/>
              </w:rPr>
              <w:t xml:space="preserve"> GOLD</w:t>
            </w:r>
          </w:p>
        </w:tc>
        <w:tc>
          <w:tcPr>
            <w:tcW w:w="2491" w:type="dxa"/>
            <w:vAlign w:val="center"/>
          </w:tcPr>
          <w:p w14:paraId="30956DF5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股票及商品对冲案例</w:t>
            </w:r>
          </w:p>
        </w:tc>
        <w:tc>
          <w:tcPr>
            <w:tcW w:w="4965" w:type="dxa"/>
            <w:vAlign w:val="center"/>
          </w:tcPr>
          <w:p w14:paraId="6FA829B1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proofErr w:type="gramStart"/>
            <w:r w:rsidRPr="006F3586">
              <w:rPr>
                <w:rFonts w:cs="Arial"/>
                <w:sz w:val="20"/>
                <w:lang w:eastAsia="zh-CN"/>
              </w:rPr>
              <w:t>仅分析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时段与合约规则；缺少同步外部报价。</w:t>
            </w:r>
          </w:p>
        </w:tc>
      </w:tr>
    </w:tbl>
    <w:p w14:paraId="3B5D0BB0" w14:textId="77777777" w:rsidR="004712C8" w:rsidRPr="006F3586" w:rsidRDefault="004712C8" w:rsidP="006F3586">
      <w:pPr>
        <w:suppressLineNumbers/>
        <w:suppressAutoHyphens/>
        <w:overflowPunct w:val="0"/>
        <w:spacing w:after="0" w:line="80" w:lineRule="exact"/>
        <w:rPr>
          <w:lang w:eastAsia="zh-CN"/>
        </w:rPr>
      </w:pPr>
    </w:p>
    <w:p w14:paraId="7B962C69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HLP </w:t>
      </w:r>
      <w:r w:rsidRPr="006F3586">
        <w:rPr>
          <w:rFonts w:cs="Arial"/>
          <w:lang w:eastAsia="zh-CN"/>
        </w:rPr>
        <w:t>初始</w:t>
      </w:r>
      <w:r w:rsidRPr="006F3586">
        <w:rPr>
          <w:rFonts w:cs="Arial"/>
          <w:lang w:eastAsia="zh-CN"/>
        </w:rPr>
        <w:t xml:space="preserve"> </w:t>
      </w:r>
      <w:proofErr w:type="spellStart"/>
      <w:r w:rsidRPr="006F3586">
        <w:rPr>
          <w:rFonts w:cs="Arial"/>
          <w:lang w:eastAsia="zh-CN"/>
        </w:rPr>
        <w:t>allTime</w:t>
      </w:r>
      <w:proofErr w:type="spellEnd"/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序列仅含</w:t>
      </w:r>
      <w:r w:rsidRPr="006F3586">
        <w:rPr>
          <w:rFonts w:cs="Arial"/>
          <w:lang w:eastAsia="zh-CN"/>
        </w:rPr>
        <w:t xml:space="preserve"> 27 </w:t>
      </w:r>
      <w:proofErr w:type="gramStart"/>
      <w:r w:rsidRPr="006F3586">
        <w:rPr>
          <w:rFonts w:cs="Arial"/>
          <w:lang w:eastAsia="zh-CN"/>
        </w:rPr>
        <w:t>个</w:t>
      </w:r>
      <w:proofErr w:type="gramEnd"/>
      <w:r w:rsidRPr="006F3586">
        <w:rPr>
          <w:rFonts w:cs="Arial"/>
          <w:lang w:eastAsia="zh-CN"/>
        </w:rPr>
        <w:t>观测；合并</w:t>
      </w:r>
      <w:r w:rsidRPr="006F3586">
        <w:rPr>
          <w:rFonts w:cs="Arial"/>
          <w:lang w:eastAsia="zh-CN"/>
        </w:rPr>
        <w:t xml:space="preserve"> month </w:t>
      </w:r>
      <w:r w:rsidRPr="006F3586">
        <w:rPr>
          <w:rFonts w:cs="Arial"/>
          <w:lang w:eastAsia="zh-CN"/>
        </w:rPr>
        <w:t>与</w:t>
      </w:r>
      <w:r w:rsidRPr="006F3586">
        <w:rPr>
          <w:rFonts w:cs="Arial"/>
          <w:lang w:eastAsia="zh-CN"/>
        </w:rPr>
        <w:t xml:space="preserve"> </w:t>
      </w:r>
      <w:proofErr w:type="spellStart"/>
      <w:r w:rsidRPr="006F3586">
        <w:rPr>
          <w:rFonts w:cs="Arial"/>
          <w:lang w:eastAsia="zh-CN"/>
        </w:rPr>
        <w:t>allTime</w:t>
      </w:r>
      <w:proofErr w:type="spellEnd"/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历史后得到最终</w:t>
      </w:r>
      <w:r w:rsidRPr="006F3586">
        <w:rPr>
          <w:rFonts w:cs="Arial"/>
          <w:lang w:eastAsia="zh-CN"/>
        </w:rPr>
        <w:t xml:space="preserve"> 48 </w:t>
      </w:r>
      <w:proofErr w:type="gramStart"/>
      <w:r w:rsidRPr="006F3586">
        <w:rPr>
          <w:rFonts w:cs="Arial"/>
          <w:lang w:eastAsia="zh-CN"/>
        </w:rPr>
        <w:t>个</w:t>
      </w:r>
      <w:proofErr w:type="gramEnd"/>
      <w:r w:rsidRPr="006F3586">
        <w:rPr>
          <w:rFonts w:cs="Arial"/>
          <w:lang w:eastAsia="zh-CN"/>
        </w:rPr>
        <w:t>。缺失观测不按</w:t>
      </w:r>
      <w:proofErr w:type="gramStart"/>
      <w:r w:rsidRPr="006F3586">
        <w:rPr>
          <w:rFonts w:cs="Arial"/>
          <w:lang w:eastAsia="zh-CN"/>
        </w:rPr>
        <w:t>零收益</w:t>
      </w:r>
      <w:proofErr w:type="gramEnd"/>
      <w:r w:rsidRPr="006F3586">
        <w:rPr>
          <w:rFonts w:cs="Arial"/>
          <w:lang w:eastAsia="zh-CN"/>
        </w:rPr>
        <w:t>处理。历史订单簿、美元</w:t>
      </w:r>
      <w:r w:rsidRPr="006F3586">
        <w:rPr>
          <w:rFonts w:cs="Arial"/>
          <w:lang w:eastAsia="zh-CN"/>
        </w:rPr>
        <w:t xml:space="preserve"> OI</w:t>
      </w:r>
      <w:r w:rsidRPr="006F3586">
        <w:rPr>
          <w:rFonts w:cs="Arial"/>
          <w:lang w:eastAsia="zh-CN"/>
        </w:rPr>
        <w:t>、分时点费率及完整持仓历史仍不齐全。</w:t>
      </w:r>
    </w:p>
    <w:p w14:paraId="4B32B14E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/>
      </w:pPr>
      <w:r w:rsidRPr="006F3586">
        <w:rPr>
          <w:rFonts w:cs="Arial"/>
          <w:lang w:eastAsia="zh-CN"/>
        </w:rPr>
        <w:t>表</w:t>
      </w:r>
      <w:r w:rsidRPr="006F3586">
        <w:rPr>
          <w:rFonts w:cs="Arial"/>
          <w:lang w:eastAsia="zh-CN"/>
        </w:rPr>
        <w:t xml:space="preserve"> 2.2 </w:t>
      </w:r>
      <w:r w:rsidRPr="006F3586">
        <w:rPr>
          <w:rFonts w:cs="Arial"/>
          <w:lang w:eastAsia="zh-CN"/>
        </w:rPr>
        <w:t>纳入与排除规则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304"/>
        <w:gridCol w:w="7384"/>
      </w:tblGrid>
      <w:tr w:rsidR="004712C8" w:rsidRPr="006F3586" w14:paraId="43CC542B" w14:textId="77777777">
        <w:trPr>
          <w:cantSplit/>
          <w:tblHeader/>
          <w:jc w:val="center"/>
        </w:trPr>
        <w:tc>
          <w:tcPr>
            <w:tcW w:w="2304" w:type="dxa"/>
            <w:shd w:val="clear" w:color="auto" w:fill="E8EDF0"/>
            <w:vAlign w:val="center"/>
          </w:tcPr>
          <w:p w14:paraId="72C8CC3C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标准</w:t>
            </w:r>
          </w:p>
        </w:tc>
        <w:tc>
          <w:tcPr>
            <w:tcW w:w="7384" w:type="dxa"/>
            <w:shd w:val="clear" w:color="auto" w:fill="E8EDF0"/>
            <w:vAlign w:val="center"/>
          </w:tcPr>
          <w:p w14:paraId="1C4FFDE7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处理要求</w:t>
            </w:r>
          </w:p>
        </w:tc>
      </w:tr>
      <w:tr w:rsidR="004712C8" w:rsidRPr="006F3586" w14:paraId="02940D54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10C5D9E1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工具与历史</w:t>
            </w:r>
          </w:p>
        </w:tc>
        <w:tc>
          <w:tcPr>
            <w:tcW w:w="7384" w:type="dxa"/>
            <w:vAlign w:val="center"/>
          </w:tcPr>
          <w:p w14:paraId="11444191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核验映射；争取至少六个月共同可用观测。覆盖更短的对象仅作描述性案例。</w:t>
            </w:r>
          </w:p>
        </w:tc>
      </w:tr>
      <w:tr w:rsidR="004712C8" w:rsidRPr="006F3586" w14:paraId="7092183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4D00518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数据质量</w:t>
            </w:r>
          </w:p>
        </w:tc>
        <w:tc>
          <w:tcPr>
            <w:tcW w:w="7384" w:type="dxa"/>
            <w:vAlign w:val="center"/>
          </w:tcPr>
          <w:p w14:paraId="3B60185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对齐</w:t>
            </w:r>
            <w:r w:rsidRPr="006F3586">
              <w:rPr>
                <w:rFonts w:cs="Arial"/>
                <w:sz w:val="20"/>
                <w:lang w:eastAsia="zh-CN"/>
              </w:rPr>
              <w:t xml:space="preserve"> UTC </w:t>
            </w:r>
            <w:r w:rsidRPr="006F3586">
              <w:rPr>
                <w:rFonts w:cs="Arial"/>
                <w:sz w:val="20"/>
                <w:lang w:eastAsia="zh-CN"/>
              </w:rPr>
              <w:t>时间、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去重并调查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缺口；仅使用决策时已知信息。</w:t>
            </w:r>
          </w:p>
        </w:tc>
      </w:tr>
      <w:tr w:rsidR="004712C8" w:rsidRPr="006F3586" w14:paraId="00B7AFE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FB89C86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金库筛选</w:t>
            </w:r>
          </w:p>
        </w:tc>
        <w:tc>
          <w:tcPr>
            <w:tcW w:w="7384" w:type="dxa"/>
            <w:vAlign w:val="center"/>
          </w:tcPr>
          <w:p w14:paraId="58599BB7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按策略说明、历史长度、完整性与规模评估，不按近期</w:t>
            </w:r>
            <w:r w:rsidRPr="006F3586">
              <w:rPr>
                <w:rFonts w:cs="Arial"/>
                <w:sz w:val="20"/>
                <w:lang w:eastAsia="zh-CN"/>
              </w:rPr>
              <w:t xml:space="preserve"> APR </w:t>
            </w:r>
            <w:r w:rsidRPr="006F3586">
              <w:rPr>
                <w:rFonts w:cs="Arial"/>
                <w:sz w:val="20"/>
                <w:lang w:eastAsia="zh-CN"/>
              </w:rPr>
              <w:t>选样。</w:t>
            </w:r>
          </w:p>
        </w:tc>
      </w:tr>
      <w:tr w:rsidR="004712C8" w:rsidRPr="006F3586" w14:paraId="43D479AF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1E4AE8D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缺失或关闭样本</w:t>
            </w:r>
          </w:p>
        </w:tc>
        <w:tc>
          <w:tcPr>
            <w:tcW w:w="7384" w:type="dxa"/>
            <w:vAlign w:val="center"/>
          </w:tcPr>
          <w:p w14:paraId="5D092B71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筛选日志保留关闭、表现弱及无法核验的对象；不倒推历史成员资格。</w:t>
            </w:r>
          </w:p>
        </w:tc>
      </w:tr>
    </w:tbl>
    <w:p w14:paraId="494D18D3" w14:textId="77777777" w:rsidR="004712C8" w:rsidRPr="006F3586" w:rsidRDefault="004712C8" w:rsidP="006F3586">
      <w:pPr>
        <w:suppressLineNumbers/>
        <w:suppressAutoHyphens/>
        <w:overflowPunct w:val="0"/>
        <w:spacing w:after="0" w:line="80" w:lineRule="exact"/>
        <w:rPr>
          <w:lang w:eastAsia="zh-CN"/>
        </w:rPr>
      </w:pPr>
    </w:p>
    <w:p w14:paraId="2DBE1FDC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证据分为已核实观测、研究推断、模型估计与</w:t>
      </w:r>
      <w:proofErr w:type="gramStart"/>
      <w:r w:rsidRPr="006F3586">
        <w:rPr>
          <w:rFonts w:cs="Arial"/>
          <w:lang w:eastAsia="zh-CN"/>
        </w:rPr>
        <w:t>待尽调事项</w:t>
      </w:r>
      <w:proofErr w:type="gramEnd"/>
      <w:r w:rsidRPr="006F3586">
        <w:rPr>
          <w:rFonts w:cs="Arial"/>
          <w:lang w:eastAsia="zh-CN"/>
        </w:rPr>
        <w:t>。无法重建完整历史成员名单时，金库分析限定为案例研究。公开记录不能独立证明经审计回报、管理人的完整</w:t>
      </w:r>
      <w:r w:rsidRPr="006F3586">
        <w:rPr>
          <w:rFonts w:cs="Arial"/>
          <w:lang w:eastAsia="zh-CN"/>
        </w:rPr>
        <w:t xml:space="preserve"> AUM </w:t>
      </w:r>
      <w:r w:rsidRPr="006F3586">
        <w:rPr>
          <w:rFonts w:cs="Arial"/>
          <w:lang w:eastAsia="zh-CN"/>
        </w:rPr>
        <w:t>或组织能力。</w:t>
      </w:r>
    </w:p>
    <w:p w14:paraId="71D90027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3 </w:t>
      </w:r>
      <w:r w:rsidRPr="006F3586">
        <w:rPr>
          <w:rFonts w:cs="Arial"/>
          <w:b w:val="0"/>
          <w:bCs w:val="0"/>
          <w:lang w:eastAsia="zh-CN"/>
        </w:rPr>
        <w:t>市场结构与策略机会</w:t>
      </w:r>
    </w:p>
    <w:p w14:paraId="2CE7D214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BTC </w:t>
      </w:r>
      <w:r w:rsidRPr="006F3586">
        <w:rPr>
          <w:rFonts w:cs="Arial"/>
          <w:lang w:eastAsia="zh-CN"/>
        </w:rPr>
        <w:t>与</w:t>
      </w:r>
      <w:r w:rsidRPr="006F3586">
        <w:rPr>
          <w:rFonts w:cs="Arial"/>
          <w:lang w:eastAsia="zh-CN"/>
        </w:rPr>
        <w:t xml:space="preserve"> ETH </w:t>
      </w:r>
      <w:r w:rsidRPr="006F3586">
        <w:rPr>
          <w:rFonts w:cs="Arial"/>
          <w:lang w:eastAsia="zh-CN"/>
        </w:rPr>
        <w:t>资金费率为正的小时占比分别为</w:t>
      </w:r>
      <w:r w:rsidRPr="006F3586">
        <w:rPr>
          <w:rFonts w:cs="Arial"/>
          <w:lang w:eastAsia="zh-CN"/>
        </w:rPr>
        <w:t xml:space="preserve"> 81.5% </w:t>
      </w:r>
      <w:r w:rsidRPr="006F3586">
        <w:rPr>
          <w:rFonts w:cs="Arial"/>
          <w:lang w:eastAsia="zh-CN"/>
        </w:rPr>
        <w:t>和</w:t>
      </w:r>
      <w:r w:rsidRPr="006F3586">
        <w:rPr>
          <w:rFonts w:cs="Arial"/>
          <w:lang w:eastAsia="zh-CN"/>
        </w:rPr>
        <w:t xml:space="preserve"> 83.0%</w:t>
      </w:r>
      <w:r w:rsidRPr="006F3586">
        <w:rPr>
          <w:rFonts w:cs="Arial"/>
          <w:lang w:eastAsia="zh-CN"/>
        </w:rPr>
        <w:t>。两者小时费率中位数均为</w:t>
      </w:r>
      <w:r w:rsidRPr="006F3586">
        <w:rPr>
          <w:rFonts w:cs="Arial"/>
          <w:lang w:eastAsia="zh-CN"/>
        </w:rPr>
        <w:t xml:space="preserve"> 0.125 bps</w:t>
      </w:r>
      <w:r w:rsidRPr="006F3586">
        <w:rPr>
          <w:rFonts w:cs="Arial"/>
          <w:lang w:eastAsia="zh-CN"/>
        </w:rPr>
        <w:t>，均值分别为</w:t>
      </w:r>
      <w:r w:rsidRPr="006F3586">
        <w:rPr>
          <w:rFonts w:cs="Arial"/>
          <w:lang w:eastAsia="zh-CN"/>
        </w:rPr>
        <w:t xml:space="preserve"> 0.069/0.070 bps</w:t>
      </w:r>
      <w:r w:rsidRPr="006F3586">
        <w:rPr>
          <w:rFonts w:cs="Arial"/>
          <w:lang w:eastAsia="zh-CN"/>
        </w:rPr>
        <w:t>；直接正负切换分别有</w:t>
      </w:r>
      <w:r w:rsidRPr="006F3586">
        <w:rPr>
          <w:rFonts w:cs="Arial"/>
          <w:lang w:eastAsia="zh-CN"/>
        </w:rPr>
        <w:t xml:space="preserve"> 736/764 </w:t>
      </w:r>
      <w:r w:rsidRPr="006F3586">
        <w:rPr>
          <w:rFonts w:cs="Arial"/>
          <w:lang w:eastAsia="zh-CN"/>
        </w:rPr>
        <w:t>次。负费率区间的持续时间中位数为两小时，最长为</w:t>
      </w:r>
      <w:r w:rsidRPr="006F3586">
        <w:rPr>
          <w:rFonts w:cs="Arial"/>
          <w:lang w:eastAsia="zh-CN"/>
        </w:rPr>
        <w:t xml:space="preserve"> 45/64 </w:t>
      </w:r>
      <w:r w:rsidRPr="006F3586">
        <w:rPr>
          <w:rFonts w:cs="Arial"/>
          <w:lang w:eastAsia="zh-CN"/>
        </w:rPr>
        <w:t>小时。两者</w:t>
      </w:r>
      <w:r w:rsidRPr="006F3586">
        <w:rPr>
          <w:rFonts w:cs="Arial"/>
          <w:lang w:eastAsia="zh-CN"/>
        </w:rPr>
        <w:t xml:space="preserve"> 4 </w:t>
      </w:r>
      <w:r w:rsidRPr="006F3586">
        <w:rPr>
          <w:rFonts w:cs="Arial"/>
          <w:lang w:eastAsia="zh-CN"/>
        </w:rPr>
        <w:t>月的月均值均转负。因此，多数时间为正与显著的费率反转风险可以同时存在。</w:t>
      </w:r>
    </w:p>
    <w:p w14:paraId="5473111F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drawing>
          <wp:inline distT="0" distB="0" distL="0" distR="0" wp14:anchorId="72A7F71F" wp14:editId="30C05CF2">
            <wp:extent cx="6035040" cy="3106060"/>
            <wp:effectExtent l="0" t="0" r="0" b="0"/>
            <wp:docPr id="1" name="Picture 1" descr="图 3.1 月度资金费率分布摘要。每个标的包含 8,760 个小时观测。来源：2026 年 9 月 9 日提取的 Hyperliquid Info API 数据及作者计算。资金费率不等于策略收益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B384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3.1 </w:t>
      </w:r>
      <w:r w:rsidRPr="006F3586">
        <w:rPr>
          <w:rFonts w:cs="Arial"/>
          <w:b w:val="0"/>
          <w:bCs w:val="0"/>
          <w:lang w:eastAsia="zh-CN"/>
        </w:rPr>
        <w:t>月度资金费率分布摘要。每个标的包含</w:t>
      </w:r>
      <w:r w:rsidRPr="006F3586">
        <w:rPr>
          <w:rFonts w:cs="Arial"/>
          <w:b w:val="0"/>
          <w:bCs w:val="0"/>
          <w:lang w:eastAsia="zh-CN"/>
        </w:rPr>
        <w:t xml:space="preserve"> 8,760 </w:t>
      </w:r>
      <w:proofErr w:type="gramStart"/>
      <w:r w:rsidRPr="006F3586">
        <w:rPr>
          <w:rFonts w:cs="Arial"/>
          <w:b w:val="0"/>
          <w:bCs w:val="0"/>
          <w:lang w:eastAsia="zh-CN"/>
        </w:rPr>
        <w:t>个</w:t>
      </w:r>
      <w:proofErr w:type="gramEnd"/>
      <w:r w:rsidRPr="006F3586">
        <w:rPr>
          <w:rFonts w:cs="Arial"/>
          <w:b w:val="0"/>
          <w:bCs w:val="0"/>
          <w:lang w:eastAsia="zh-CN"/>
        </w:rPr>
        <w:t>小时观测。来源：</w:t>
      </w:r>
      <w:r w:rsidRPr="006F3586">
        <w:rPr>
          <w:rFonts w:cs="Arial"/>
          <w:b w:val="0"/>
          <w:bCs w:val="0"/>
          <w:lang w:eastAsia="zh-CN"/>
        </w:rPr>
        <w:t xml:space="preserve">2026 </w:t>
      </w:r>
      <w:r w:rsidRPr="006F3586">
        <w:rPr>
          <w:rFonts w:cs="Arial"/>
          <w:b w:val="0"/>
          <w:bCs w:val="0"/>
          <w:lang w:eastAsia="zh-CN"/>
        </w:rPr>
        <w:t>年</w:t>
      </w:r>
      <w:r w:rsidRPr="006F3586">
        <w:rPr>
          <w:rFonts w:cs="Arial"/>
          <w:b w:val="0"/>
          <w:bCs w:val="0"/>
          <w:lang w:eastAsia="zh-CN"/>
        </w:rPr>
        <w:t xml:space="preserve"> 9 </w:t>
      </w:r>
      <w:r w:rsidRPr="006F3586">
        <w:rPr>
          <w:rFonts w:cs="Arial"/>
          <w:b w:val="0"/>
          <w:bCs w:val="0"/>
          <w:lang w:eastAsia="zh-CN"/>
        </w:rPr>
        <w:t>月</w:t>
      </w:r>
      <w:r w:rsidRPr="006F3586">
        <w:rPr>
          <w:rFonts w:cs="Arial"/>
          <w:b w:val="0"/>
          <w:bCs w:val="0"/>
          <w:lang w:eastAsia="zh-CN"/>
        </w:rPr>
        <w:t xml:space="preserve"> 9 </w:t>
      </w:r>
      <w:r w:rsidRPr="006F3586">
        <w:rPr>
          <w:rFonts w:cs="Arial"/>
          <w:b w:val="0"/>
          <w:bCs w:val="0"/>
          <w:lang w:eastAsia="zh-CN"/>
        </w:rPr>
        <w:t>日提取的</w:t>
      </w:r>
      <w:r w:rsidRPr="006F3586">
        <w:rPr>
          <w:rFonts w:cs="Arial"/>
          <w:b w:val="0"/>
          <w:bCs w:val="0"/>
          <w:lang w:eastAsia="zh-CN"/>
        </w:rPr>
        <w:t xml:space="preserve"> </w:t>
      </w:r>
      <w:proofErr w:type="spellStart"/>
      <w:r w:rsidRPr="006F3586">
        <w:rPr>
          <w:rFonts w:cs="Arial"/>
          <w:b w:val="0"/>
          <w:bCs w:val="0"/>
          <w:lang w:eastAsia="zh-CN"/>
        </w:rPr>
        <w:t>Hyperliquid</w:t>
      </w:r>
      <w:proofErr w:type="spellEnd"/>
      <w:r w:rsidRPr="006F3586">
        <w:rPr>
          <w:rFonts w:cs="Arial"/>
          <w:b w:val="0"/>
          <w:bCs w:val="0"/>
          <w:lang w:eastAsia="zh-CN"/>
        </w:rPr>
        <w:t xml:space="preserve"> Info API </w:t>
      </w:r>
      <w:r w:rsidRPr="006F3586">
        <w:rPr>
          <w:rFonts w:cs="Arial"/>
          <w:b w:val="0"/>
          <w:bCs w:val="0"/>
          <w:lang w:eastAsia="zh-CN"/>
        </w:rPr>
        <w:t>数据及作者计算。资金费率不等于策略收益率。</w:t>
      </w:r>
    </w:p>
    <w:p w14:paraId="7B47C650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按映射后的标的数量计算，</w:t>
      </w:r>
      <w:r w:rsidRPr="006F3586">
        <w:rPr>
          <w:rFonts w:cs="Arial"/>
          <w:lang w:eastAsia="zh-CN"/>
        </w:rPr>
        <w:t xml:space="preserve">UBTC/UETH </w:t>
      </w:r>
      <w:r w:rsidRPr="006F3586">
        <w:rPr>
          <w:rFonts w:cs="Arial"/>
          <w:lang w:eastAsia="zh-CN"/>
        </w:rPr>
        <w:t>现货成交量仅为对应永续成交量的</w:t>
      </w:r>
      <w:r w:rsidRPr="006F3586">
        <w:rPr>
          <w:rFonts w:cs="Arial"/>
          <w:lang w:eastAsia="zh-CN"/>
        </w:rPr>
        <w:t xml:space="preserve"> 1.90%/1.48%</w:t>
      </w:r>
      <w:r w:rsidRPr="006F3586">
        <w:rPr>
          <w:rFonts w:cs="Arial"/>
          <w:lang w:eastAsia="zh-CN"/>
        </w:rPr>
        <w:t>。现货流动性需要单独评估；成交量不能代表可执行深度。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304"/>
        <w:gridCol w:w="7384"/>
      </w:tblGrid>
      <w:tr w:rsidR="004712C8" w:rsidRPr="006F3586" w14:paraId="71368F74" w14:textId="77777777">
        <w:trPr>
          <w:cantSplit/>
          <w:tblHeader/>
          <w:jc w:val="center"/>
        </w:trPr>
        <w:tc>
          <w:tcPr>
            <w:tcW w:w="2304" w:type="dxa"/>
            <w:shd w:val="clear" w:color="auto" w:fill="E8EDF0"/>
            <w:vAlign w:val="center"/>
          </w:tcPr>
          <w:p w14:paraId="0B8FD278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指标</w:t>
            </w:r>
          </w:p>
        </w:tc>
        <w:tc>
          <w:tcPr>
            <w:tcW w:w="7384" w:type="dxa"/>
            <w:shd w:val="clear" w:color="auto" w:fill="E8EDF0"/>
            <w:vAlign w:val="center"/>
          </w:tcPr>
          <w:p w14:paraId="2789EC2F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在研究中的用途</w:t>
            </w:r>
          </w:p>
        </w:tc>
      </w:tr>
      <w:tr w:rsidR="004712C8" w:rsidRPr="006F3586" w14:paraId="526110C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52A40D0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现货与永续可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交易基差</w:t>
            </w:r>
            <w:proofErr w:type="gramEnd"/>
          </w:p>
        </w:tc>
        <w:tc>
          <w:tcPr>
            <w:tcW w:w="7384" w:type="dxa"/>
            <w:vAlign w:val="center"/>
          </w:tcPr>
          <w:p w14:paraId="51054626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同时点、给定规模下，卖出永续与买入现货的</w:t>
            </w:r>
            <w:r w:rsidRPr="006F3586">
              <w:rPr>
                <w:rFonts w:cs="Arial"/>
                <w:sz w:val="20"/>
                <w:lang w:eastAsia="zh-CN"/>
              </w:rPr>
              <w:t xml:space="preserve"> VWAP </w:t>
            </w:r>
            <w:r w:rsidRPr="006F3586">
              <w:rPr>
                <w:rFonts w:cs="Arial"/>
                <w:sz w:val="20"/>
                <w:lang w:eastAsia="zh-CN"/>
              </w:rPr>
              <w:t>差异，未扣费用。</w:t>
            </w:r>
          </w:p>
        </w:tc>
      </w:tr>
      <w:tr w:rsidR="004712C8" w:rsidRPr="006F3586" w14:paraId="2F36D2A1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0CE38A6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 xml:space="preserve">Mark </w:t>
            </w:r>
            <w:r w:rsidRPr="006F3586">
              <w:rPr>
                <w:rFonts w:cs="Arial"/>
                <w:sz w:val="20"/>
                <w:lang w:eastAsia="zh-CN"/>
              </w:rPr>
              <w:t>与</w:t>
            </w:r>
            <w:r w:rsidRPr="006F3586">
              <w:rPr>
                <w:rFonts w:cs="Arial"/>
                <w:sz w:val="20"/>
                <w:lang w:eastAsia="zh-CN"/>
              </w:rPr>
              <w:t xml:space="preserve"> Oracle </w:t>
            </w:r>
            <w:r w:rsidRPr="006F3586">
              <w:rPr>
                <w:rFonts w:cs="Arial"/>
                <w:sz w:val="20"/>
                <w:lang w:eastAsia="zh-CN"/>
              </w:rPr>
              <w:t>偏离</w:t>
            </w:r>
          </w:p>
        </w:tc>
        <w:tc>
          <w:tcPr>
            <w:tcW w:w="7384" w:type="dxa"/>
            <w:vAlign w:val="center"/>
          </w:tcPr>
          <w:p w14:paraId="326030A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观察估值与参考价格差异及抵押风险。</w:t>
            </w:r>
          </w:p>
        </w:tc>
      </w:tr>
      <w:tr w:rsidR="004712C8" w:rsidRPr="006F3586" w14:paraId="477F097E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653B362A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资金费率</w:t>
            </w:r>
          </w:p>
        </w:tc>
        <w:tc>
          <w:tcPr>
            <w:tcW w:w="7384" w:type="dxa"/>
            <w:vAlign w:val="center"/>
          </w:tcPr>
          <w:p w14:paraId="2B99D4A2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按对应持仓及预言机价格计算的小时现金流。</w:t>
            </w:r>
          </w:p>
        </w:tc>
      </w:tr>
    </w:tbl>
    <w:p w14:paraId="6F9BFAEA" w14:textId="77777777" w:rsidR="004712C8" w:rsidRPr="006F3586" w:rsidRDefault="004712C8" w:rsidP="006F3586">
      <w:pPr>
        <w:suppressLineNumbers/>
        <w:suppressAutoHyphens/>
        <w:overflowPunct w:val="0"/>
        <w:spacing w:after="0" w:line="80" w:lineRule="exact"/>
        <w:rPr>
          <w:lang w:eastAsia="zh-CN"/>
        </w:rPr>
      </w:pPr>
    </w:p>
    <w:p w14:paraId="4DF5E289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历史流动性环境使用</w:t>
      </w:r>
      <w:r w:rsidRPr="006F3586">
        <w:rPr>
          <w:rFonts w:cs="Arial"/>
          <w:lang w:eastAsia="zh-CN"/>
        </w:rPr>
        <w:t xml:space="preserve"> BTC </w:t>
      </w:r>
      <w:r w:rsidRPr="006F3586">
        <w:rPr>
          <w:rFonts w:cs="Arial"/>
          <w:lang w:eastAsia="zh-CN"/>
        </w:rPr>
        <w:t>日内</w:t>
      </w:r>
      <w:r w:rsidRPr="006F3586">
        <w:rPr>
          <w:rFonts w:cs="Arial"/>
          <w:lang w:eastAsia="zh-CN"/>
        </w:rPr>
        <w:t xml:space="preserve"> log(high/low) </w:t>
      </w:r>
      <w:r w:rsidRPr="006F3586">
        <w:rPr>
          <w:rFonts w:cs="Arial"/>
          <w:lang w:eastAsia="zh-CN"/>
        </w:rPr>
        <w:t>划分：最高十分位定义为压力环境，共</w:t>
      </w:r>
      <w:r w:rsidRPr="006F3586">
        <w:rPr>
          <w:rFonts w:cs="Arial"/>
          <w:lang w:eastAsia="zh-CN"/>
        </w:rPr>
        <w:t xml:space="preserve"> 37 </w:t>
      </w:r>
      <w:r w:rsidRPr="006F3586">
        <w:rPr>
          <w:rFonts w:cs="Arial"/>
          <w:lang w:eastAsia="zh-CN"/>
        </w:rPr>
        <w:t>日；第</w:t>
      </w:r>
      <w:r w:rsidRPr="006F3586">
        <w:rPr>
          <w:rFonts w:cs="Arial"/>
          <w:lang w:eastAsia="zh-CN"/>
        </w:rPr>
        <w:t xml:space="preserve"> 40–60 </w:t>
      </w:r>
      <w:r w:rsidRPr="006F3586">
        <w:rPr>
          <w:rFonts w:cs="Arial"/>
          <w:lang w:eastAsia="zh-CN"/>
        </w:rPr>
        <w:t>百分位定义为正常环境，共</w:t>
      </w:r>
      <w:r w:rsidRPr="006F3586">
        <w:rPr>
          <w:rFonts w:cs="Arial"/>
          <w:lang w:eastAsia="zh-CN"/>
        </w:rPr>
        <w:t xml:space="preserve"> 73 </w:t>
      </w:r>
      <w:r w:rsidRPr="006F3586">
        <w:rPr>
          <w:rFonts w:cs="Arial"/>
          <w:lang w:eastAsia="zh-CN"/>
        </w:rPr>
        <w:t>日。这是事后分类，不是入场信号。历史点差与深度分布、</w:t>
      </w:r>
      <w:r w:rsidRPr="006F3586">
        <w:rPr>
          <w:rFonts w:cs="Arial"/>
          <w:lang w:eastAsia="zh-CN"/>
        </w:rPr>
        <w:t xml:space="preserve">OI </w:t>
      </w:r>
      <w:proofErr w:type="gramStart"/>
      <w:r w:rsidRPr="006F3586">
        <w:rPr>
          <w:rFonts w:cs="Arial"/>
          <w:lang w:eastAsia="zh-CN"/>
        </w:rPr>
        <w:t>及集中</w:t>
      </w:r>
      <w:proofErr w:type="gramEnd"/>
      <w:r w:rsidRPr="006F3586">
        <w:rPr>
          <w:rFonts w:cs="Arial"/>
          <w:lang w:eastAsia="zh-CN"/>
        </w:rPr>
        <w:t>度仍未核验，第</w:t>
      </w:r>
      <w:r w:rsidRPr="006F3586">
        <w:rPr>
          <w:rFonts w:cs="Arial"/>
          <w:lang w:eastAsia="zh-CN"/>
        </w:rPr>
        <w:t xml:space="preserve"> 6 </w:t>
      </w:r>
      <w:proofErr w:type="gramStart"/>
      <w:r w:rsidRPr="006F3586">
        <w:rPr>
          <w:rFonts w:cs="Arial"/>
          <w:lang w:eastAsia="zh-CN"/>
        </w:rPr>
        <w:t>章因此</w:t>
      </w:r>
      <w:proofErr w:type="gramEnd"/>
      <w:r w:rsidRPr="006F3586">
        <w:rPr>
          <w:rFonts w:cs="Arial"/>
          <w:lang w:eastAsia="zh-CN"/>
        </w:rPr>
        <w:t>提供明确标注的模型诊断。历史保证金档位、全仓与逐</w:t>
      </w:r>
      <w:proofErr w:type="gramStart"/>
      <w:r w:rsidRPr="006F3586">
        <w:rPr>
          <w:rFonts w:cs="Arial"/>
          <w:lang w:eastAsia="zh-CN"/>
        </w:rPr>
        <w:t>仓处理</w:t>
      </w:r>
      <w:proofErr w:type="gramEnd"/>
      <w:r w:rsidRPr="006F3586">
        <w:rPr>
          <w:rFonts w:cs="Arial"/>
          <w:lang w:eastAsia="zh-CN"/>
        </w:rPr>
        <w:t>及规则生效情况也需重建。</w:t>
      </w:r>
      <w:r w:rsidRPr="006F3586">
        <w:rPr>
          <w:rFonts w:cs="Arial"/>
          <w:lang w:eastAsia="zh-CN"/>
        </w:rPr>
        <w:t xml:space="preserve">Messari </w:t>
      </w:r>
      <w:r w:rsidRPr="006F3586">
        <w:rPr>
          <w:rFonts w:cs="Arial"/>
          <w:lang w:eastAsia="zh-CN"/>
        </w:rPr>
        <w:t>的</w:t>
      </w:r>
      <w:r w:rsidRPr="006F3586">
        <w:rPr>
          <w:rFonts w:cs="Arial"/>
          <w:lang w:eastAsia="zh-CN"/>
        </w:rPr>
        <w:t xml:space="preserve"> HYPE </w:t>
      </w:r>
      <w:r w:rsidRPr="006F3586">
        <w:rPr>
          <w:rFonts w:cs="Arial"/>
          <w:lang w:eastAsia="zh-CN"/>
        </w:rPr>
        <w:t>资金费率图是该代币在各市场的指标，不能代替</w:t>
      </w:r>
      <w:r w:rsidRPr="006F3586">
        <w:rPr>
          <w:rFonts w:cs="Arial"/>
          <w:lang w:eastAsia="zh-CN"/>
        </w:rPr>
        <w:t xml:space="preserve"> Hyperliquid </w:t>
      </w:r>
      <w:r w:rsidRPr="006F3586">
        <w:rPr>
          <w:rFonts w:cs="Arial"/>
          <w:lang w:eastAsia="zh-CN"/>
        </w:rPr>
        <w:t>所有合约的数据。</w:t>
      </w:r>
      <w:r w:rsidRPr="006F3586">
        <w:rPr>
          <w:rFonts w:cs="Arial"/>
          <w:lang w:eastAsia="zh-CN"/>
        </w:rPr>
        <w:t>[2, 6]</w:t>
      </w:r>
    </w:p>
    <w:p w14:paraId="6D00819A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4 </w:t>
      </w:r>
      <w:r w:rsidRPr="006F3586">
        <w:rPr>
          <w:rFonts w:cs="Arial"/>
          <w:b w:val="0"/>
          <w:bCs w:val="0"/>
          <w:lang w:eastAsia="zh-CN"/>
        </w:rPr>
        <w:t>资金费率策略构建与净收益检验</w:t>
      </w:r>
    </w:p>
    <w:p w14:paraId="4778D6FF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条件回放以</w:t>
      </w:r>
      <w:r w:rsidRPr="006F3586">
        <w:rPr>
          <w:rFonts w:cs="Arial"/>
          <w:lang w:eastAsia="zh-CN"/>
        </w:rPr>
        <w:t xml:space="preserve"> 100,000 USDC </w:t>
      </w:r>
      <w:r w:rsidRPr="006F3586">
        <w:rPr>
          <w:rFonts w:cs="Arial"/>
          <w:lang w:eastAsia="zh-CN"/>
        </w:rPr>
        <w:t>起始，假设</w:t>
      </w:r>
      <w:r w:rsidRPr="006F3586">
        <w:rPr>
          <w:rFonts w:cs="Arial"/>
          <w:lang w:eastAsia="zh-CN"/>
        </w:rPr>
        <w:t xml:space="preserve"> USDC </w:t>
      </w:r>
      <w:r w:rsidRPr="006F3586">
        <w:rPr>
          <w:rFonts w:cs="Arial"/>
          <w:lang w:eastAsia="zh-CN"/>
        </w:rPr>
        <w:t>等于美元。每个标的最多用权益的</w:t>
      </w:r>
      <w:r w:rsidRPr="006F3586">
        <w:rPr>
          <w:rFonts w:cs="Arial"/>
          <w:lang w:eastAsia="zh-CN"/>
        </w:rPr>
        <w:t xml:space="preserve"> 20% </w:t>
      </w:r>
      <w:r w:rsidRPr="006F3586">
        <w:rPr>
          <w:rFonts w:cs="Arial"/>
          <w:lang w:eastAsia="zh-CN"/>
        </w:rPr>
        <w:t>买入现货，并做空等量标的单位的永续，按两腿中较高的参考价格确定数量。另配置</w:t>
      </w:r>
      <w:r w:rsidRPr="006F3586">
        <w:rPr>
          <w:rFonts w:cs="Arial"/>
          <w:lang w:eastAsia="zh-CN"/>
        </w:rPr>
        <w:t xml:space="preserve"> 40% </w:t>
      </w:r>
      <w:r w:rsidRPr="006F3586">
        <w:rPr>
          <w:rFonts w:cs="Arial"/>
          <w:lang w:eastAsia="zh-CN"/>
        </w:rPr>
        <w:t>作为永续抵押，至少</w:t>
      </w:r>
      <w:r w:rsidRPr="006F3586">
        <w:rPr>
          <w:rFonts w:cs="Arial"/>
          <w:lang w:eastAsia="zh-CN"/>
        </w:rPr>
        <w:t xml:space="preserve"> 20% </w:t>
      </w:r>
      <w:r w:rsidRPr="006F3586">
        <w:rPr>
          <w:rFonts w:cs="Arial"/>
          <w:lang w:eastAsia="zh-CN"/>
        </w:rPr>
        <w:t>保留为现金。回报分母涵盖全部资本，现货不重复计入抵押；闲置资本收益设为零。</w:t>
      </w:r>
    </w:p>
    <w:p w14:paraId="01DCDDC4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/>
      </w:pPr>
      <w:r w:rsidRPr="006F3586">
        <w:rPr>
          <w:rFonts w:cs="Arial"/>
          <w:lang w:eastAsia="zh-CN"/>
        </w:rPr>
        <w:t>表</w:t>
      </w:r>
      <w:r w:rsidRPr="006F3586">
        <w:rPr>
          <w:rFonts w:cs="Arial"/>
          <w:lang w:eastAsia="zh-CN"/>
        </w:rPr>
        <w:t xml:space="preserve"> 4.1 </w:t>
      </w:r>
      <w:r w:rsidRPr="006F3586">
        <w:rPr>
          <w:rFonts w:cs="Arial"/>
          <w:lang w:eastAsia="zh-CN"/>
        </w:rPr>
        <w:t>固定策略设定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304"/>
        <w:gridCol w:w="7384"/>
      </w:tblGrid>
      <w:tr w:rsidR="004712C8" w:rsidRPr="006F3586" w14:paraId="682A9459" w14:textId="77777777">
        <w:trPr>
          <w:cantSplit/>
          <w:tblHeader/>
          <w:jc w:val="center"/>
        </w:trPr>
        <w:tc>
          <w:tcPr>
            <w:tcW w:w="2304" w:type="dxa"/>
            <w:shd w:val="clear" w:color="auto" w:fill="E8EDF0"/>
            <w:vAlign w:val="center"/>
          </w:tcPr>
          <w:p w14:paraId="1134559D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项目</w:t>
            </w:r>
          </w:p>
        </w:tc>
        <w:tc>
          <w:tcPr>
            <w:tcW w:w="7384" w:type="dxa"/>
            <w:shd w:val="clear" w:color="auto" w:fill="E8EDF0"/>
            <w:vAlign w:val="center"/>
          </w:tcPr>
          <w:p w14:paraId="1FC51E5D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规则</w:t>
            </w:r>
          </w:p>
        </w:tc>
      </w:tr>
      <w:tr w:rsidR="004712C8" w:rsidRPr="006F3586" w14:paraId="48959FEB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48A0DDF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被动基准</w:t>
            </w:r>
          </w:p>
        </w:tc>
        <w:tc>
          <w:tcPr>
            <w:tcW w:w="7384" w:type="dxa"/>
            <w:vAlign w:val="center"/>
          </w:tcPr>
          <w:p w14:paraId="7F43014B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维持两组对冲，每日</w:t>
            </w:r>
            <w:r w:rsidRPr="006F3586">
              <w:rPr>
                <w:rFonts w:cs="Arial"/>
                <w:sz w:val="20"/>
                <w:lang w:eastAsia="zh-CN"/>
              </w:rPr>
              <w:t xml:space="preserve"> 04:00 UTC </w:t>
            </w:r>
            <w:r w:rsidRPr="006F3586">
              <w:rPr>
                <w:rFonts w:cs="Arial"/>
                <w:sz w:val="20"/>
                <w:lang w:eastAsia="zh-CN"/>
              </w:rPr>
              <w:t>再平衡，接受资金费率正负变化。</w:t>
            </w:r>
          </w:p>
        </w:tc>
      </w:tr>
      <w:tr w:rsidR="004712C8" w:rsidRPr="006F3586" w14:paraId="434EF6A6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F24D602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信号与时序</w:t>
            </w:r>
          </w:p>
        </w:tc>
        <w:tc>
          <w:tcPr>
            <w:tcW w:w="7384" w:type="dxa"/>
            <w:vAlign w:val="center"/>
          </w:tcPr>
          <w:p w14:paraId="3332EA30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 xml:space="preserve">00:00 </w:t>
            </w:r>
            <w:r w:rsidRPr="006F3586">
              <w:rPr>
                <w:rFonts w:cs="Arial"/>
                <w:sz w:val="20"/>
                <w:lang w:eastAsia="zh-CN"/>
              </w:rPr>
              <w:t>根据已完成的</w:t>
            </w:r>
            <w:r w:rsidRPr="006F3586">
              <w:rPr>
                <w:rFonts w:cs="Arial"/>
                <w:sz w:val="20"/>
                <w:lang w:eastAsia="zh-CN"/>
              </w:rPr>
              <w:t xml:space="preserve"> 72 </w:t>
            </w:r>
            <w:r w:rsidRPr="006F3586">
              <w:rPr>
                <w:rFonts w:cs="Arial"/>
                <w:sz w:val="20"/>
                <w:lang w:eastAsia="zh-CN"/>
              </w:rPr>
              <w:t>小时资金费观测决策，在</w:t>
            </w:r>
            <w:r w:rsidRPr="006F3586">
              <w:rPr>
                <w:rFonts w:cs="Arial"/>
                <w:sz w:val="20"/>
                <w:lang w:eastAsia="zh-CN"/>
              </w:rPr>
              <w:t xml:space="preserve"> 04:00 </w:t>
            </w:r>
            <w:r w:rsidRPr="006F3586">
              <w:rPr>
                <w:rFonts w:cs="Arial"/>
                <w:sz w:val="20"/>
                <w:lang w:eastAsia="zh-CN"/>
              </w:rPr>
              <w:t>结算后执行。</w:t>
            </w:r>
          </w:p>
        </w:tc>
      </w:tr>
      <w:tr w:rsidR="004712C8" w:rsidRPr="006F3586" w14:paraId="4A9658C0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7591585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入场</w:t>
            </w:r>
          </w:p>
        </w:tc>
        <w:tc>
          <w:tcPr>
            <w:tcW w:w="7384" w:type="dxa"/>
            <w:vAlign w:val="center"/>
          </w:tcPr>
          <w:p w14:paraId="3F9B79A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将历史均值外推</w:t>
            </w:r>
            <w:r w:rsidRPr="006F3586">
              <w:rPr>
                <w:rFonts w:cs="Arial"/>
                <w:sz w:val="20"/>
                <w:lang w:eastAsia="zh-CN"/>
              </w:rPr>
              <w:t xml:space="preserve"> 30 </w:t>
            </w:r>
            <w:r w:rsidRPr="006F3586">
              <w:rPr>
                <w:rFonts w:cs="Arial"/>
                <w:sz w:val="20"/>
                <w:lang w:eastAsia="zh-CN"/>
              </w:rPr>
              <w:t>日；预计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资金费须超过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往返成本的</w:t>
            </w:r>
            <w:r w:rsidRPr="006F3586">
              <w:rPr>
                <w:rFonts w:cs="Arial"/>
                <w:sz w:val="20"/>
                <w:lang w:eastAsia="zh-CN"/>
              </w:rPr>
              <w:t xml:space="preserve"> 1.5 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倍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。</w:t>
            </w:r>
          </w:p>
        </w:tc>
      </w:tr>
      <w:tr w:rsidR="004712C8" w:rsidRPr="006F3586" w14:paraId="40BD5589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4D7A53B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流动性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与基差</w:t>
            </w:r>
            <w:proofErr w:type="gramEnd"/>
          </w:p>
        </w:tc>
        <w:tc>
          <w:tcPr>
            <w:tcW w:w="7384" w:type="dxa"/>
            <w:vAlign w:val="center"/>
          </w:tcPr>
          <w:p w14:paraId="5FEA75FD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整个目标数量不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超过各腿前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一日标的数量成交量的</w:t>
            </w:r>
            <w:r w:rsidRPr="006F3586">
              <w:rPr>
                <w:rFonts w:cs="Arial"/>
                <w:sz w:val="20"/>
                <w:lang w:eastAsia="zh-CN"/>
              </w:rPr>
              <w:t xml:space="preserve"> 0.1%</w:t>
            </w:r>
            <w:r w:rsidRPr="006F3586">
              <w:rPr>
                <w:rFonts w:cs="Arial"/>
                <w:sz w:val="20"/>
                <w:lang w:eastAsia="zh-CN"/>
              </w:rPr>
              <w:t>；前收盘两腿价差绝对值低于</w:t>
            </w:r>
            <w:r w:rsidRPr="006F3586">
              <w:rPr>
                <w:rFonts w:cs="Arial"/>
                <w:sz w:val="20"/>
                <w:lang w:eastAsia="zh-CN"/>
              </w:rPr>
              <w:t xml:space="preserve"> 100 bps</w:t>
            </w:r>
            <w:r w:rsidRPr="006F3586">
              <w:rPr>
                <w:rFonts w:cs="Arial"/>
                <w:sz w:val="20"/>
                <w:lang w:eastAsia="zh-CN"/>
              </w:rPr>
              <w:t>。</w:t>
            </w:r>
          </w:p>
        </w:tc>
      </w:tr>
      <w:tr w:rsidR="004712C8" w:rsidRPr="006F3586" w14:paraId="049BC0C6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A872E7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退出</w:t>
            </w:r>
          </w:p>
        </w:tc>
        <w:tc>
          <w:tcPr>
            <w:tcW w:w="7384" w:type="dxa"/>
            <w:vAlign w:val="center"/>
          </w:tcPr>
          <w:p w14:paraId="6F0DEF21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历史均值不再为正，或任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一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筛选条件失效时平仓；再次入场须重新满足门槛。</w:t>
            </w:r>
          </w:p>
        </w:tc>
      </w:tr>
      <w:tr w:rsidR="004712C8" w:rsidRPr="006F3586" w14:paraId="3012E198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663F221A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共同止损</w:t>
            </w:r>
          </w:p>
        </w:tc>
        <w:tc>
          <w:tcPr>
            <w:tcW w:w="7384" w:type="dxa"/>
            <w:vAlign w:val="center"/>
          </w:tcPr>
          <w:p w14:paraId="1F0C25CD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四小时抵押额／名义敞口代理比率低于</w:t>
            </w:r>
            <w:r w:rsidRPr="006F3586">
              <w:rPr>
                <w:rFonts w:cs="Arial"/>
                <w:sz w:val="20"/>
                <w:lang w:eastAsia="zh-CN"/>
              </w:rPr>
              <w:t xml:space="preserve"> 50% </w:t>
            </w:r>
            <w:r w:rsidRPr="006F3586">
              <w:rPr>
                <w:rFonts w:cs="Arial"/>
                <w:sz w:val="20"/>
                <w:lang w:eastAsia="zh-CN"/>
              </w:rPr>
              <w:t>时永久退出；计入期末平仓成本。</w:t>
            </w:r>
          </w:p>
        </w:tc>
      </w:tr>
    </w:tbl>
    <w:p w14:paraId="5F655FEE" w14:textId="77777777" w:rsidR="004712C8" w:rsidRPr="006F3586" w:rsidRDefault="004712C8" w:rsidP="006F3586">
      <w:pPr>
        <w:suppressLineNumbers/>
        <w:suppressAutoHyphens/>
        <w:overflowPunct w:val="0"/>
        <w:spacing w:after="0" w:line="80" w:lineRule="exact"/>
        <w:rPr>
          <w:lang w:eastAsia="zh-CN"/>
        </w:rPr>
      </w:pPr>
    </w:p>
    <w:p w14:paraId="4F1E13E3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在持仓不变的区间内，净损益由两</w:t>
      </w:r>
      <w:proofErr w:type="gramStart"/>
      <w:r w:rsidRPr="006F3586">
        <w:rPr>
          <w:rFonts w:cs="Arial"/>
          <w:lang w:eastAsia="zh-CN"/>
        </w:rPr>
        <w:t>腿价格</w:t>
      </w:r>
      <w:proofErr w:type="gramEnd"/>
      <w:r w:rsidRPr="006F3586">
        <w:rPr>
          <w:rFonts w:cs="Arial"/>
          <w:lang w:eastAsia="zh-CN"/>
        </w:rPr>
        <w:t>损益及资金费组成，再扣除费用、额外执行成本和融资成本：</w:t>
      </w:r>
    </w:p>
    <w:p w14:paraId="4FEDD0EB" w14:textId="77777777" w:rsidR="004712C8" w:rsidRPr="006F3586" w:rsidRDefault="00000000" w:rsidP="006F3586">
      <w:pPr>
        <w:suppressLineNumbers/>
        <w:suppressAutoHyphens/>
        <w:overflowPunct w:val="0"/>
        <w:spacing w:before="20" w:after="100" w:line="240" w:lineRule="auto"/>
        <w:jc w:val="center"/>
      </w:pPr>
      <w:r w:rsidRPr="006F3586">
        <w:rPr>
          <w:noProof/>
        </w:rPr>
        <w:drawing>
          <wp:inline distT="0" distB="0" distL="0" distR="0" wp14:anchorId="5EBA6CFB" wp14:editId="30F3B473">
            <wp:extent cx="5669280" cy="545441"/>
            <wp:effectExtent l="0" t="0" r="0" b="0"/>
            <wp:docPr id="2" name="Picture 2" descr="Carry PnL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9EF6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S/P </w:t>
      </w:r>
      <w:r w:rsidRPr="006F3586">
        <w:rPr>
          <w:rFonts w:cs="Arial"/>
          <w:lang w:eastAsia="zh-CN"/>
        </w:rPr>
        <w:t>表示现货／永续价格，</w:t>
      </w:r>
      <w:r w:rsidRPr="006F3586">
        <w:rPr>
          <w:rFonts w:cs="Arial"/>
          <w:lang w:eastAsia="zh-CN"/>
        </w:rPr>
        <w:t xml:space="preserve">q </w:t>
      </w:r>
      <w:r w:rsidRPr="006F3586">
        <w:rPr>
          <w:rFonts w:cs="Arial"/>
          <w:lang w:eastAsia="zh-CN"/>
        </w:rPr>
        <w:t>表示正的匹配数量，</w:t>
      </w:r>
      <w:r w:rsidRPr="006F3586">
        <w:rPr>
          <w:rFonts w:cs="Arial"/>
          <w:lang w:eastAsia="zh-CN"/>
        </w:rPr>
        <w:t xml:space="preserve">O </w:t>
      </w:r>
      <w:r w:rsidRPr="006F3586">
        <w:rPr>
          <w:rFonts w:cs="Arial"/>
          <w:lang w:eastAsia="zh-CN"/>
        </w:rPr>
        <w:t>表示结算预言机价格，</w:t>
      </w:r>
      <w:r w:rsidRPr="006F3586">
        <w:rPr>
          <w:rFonts w:cs="Arial"/>
          <w:lang w:eastAsia="zh-CN"/>
        </w:rPr>
        <w:t xml:space="preserve">F/X/B </w:t>
      </w:r>
      <w:r w:rsidRPr="006F3586">
        <w:rPr>
          <w:rFonts w:cs="Arial"/>
          <w:lang w:eastAsia="zh-CN"/>
        </w:rPr>
        <w:t>分别为费用、额外执行成本及融资／其他成本。资金费按结算时持仓与预言</w:t>
      </w:r>
      <w:proofErr w:type="gramStart"/>
      <w:r w:rsidRPr="006F3586">
        <w:rPr>
          <w:rFonts w:cs="Arial"/>
          <w:lang w:eastAsia="zh-CN"/>
        </w:rPr>
        <w:t>机价值</w:t>
      </w:r>
      <w:proofErr w:type="gramEnd"/>
      <w:r w:rsidRPr="006F3586">
        <w:rPr>
          <w:rFonts w:cs="Arial"/>
          <w:lang w:eastAsia="zh-CN"/>
        </w:rPr>
        <w:t>每小时结算。由于缺少历史结算预言机价格，回放使用最近一根已完成四小时现货</w:t>
      </w:r>
      <w:r w:rsidRPr="006F3586">
        <w:rPr>
          <w:rFonts w:cs="Arial"/>
          <w:lang w:eastAsia="zh-CN"/>
        </w:rPr>
        <w:t xml:space="preserve"> K </w:t>
      </w:r>
      <w:r w:rsidRPr="006F3586">
        <w:rPr>
          <w:rFonts w:cs="Arial"/>
          <w:lang w:eastAsia="zh-CN"/>
        </w:rPr>
        <w:t>线收盘价替代。先</w:t>
      </w:r>
      <w:proofErr w:type="gramStart"/>
      <w:r w:rsidRPr="006F3586">
        <w:rPr>
          <w:rFonts w:cs="Arial"/>
          <w:lang w:eastAsia="zh-CN"/>
        </w:rPr>
        <w:t>结算再</w:t>
      </w:r>
      <w:proofErr w:type="gramEnd"/>
      <w:r w:rsidRPr="006F3586">
        <w:rPr>
          <w:rFonts w:cs="Arial"/>
          <w:lang w:eastAsia="zh-CN"/>
        </w:rPr>
        <w:t>交易，新仓不领取已结算时段的资金费。开盘价和期末收盘价只是价格参考，未经核验为真实成交价。</w:t>
      </w:r>
      <w:r w:rsidRPr="006F3586">
        <w:rPr>
          <w:rFonts w:cs="Arial"/>
          <w:lang w:eastAsia="zh-CN"/>
        </w:rPr>
        <w:t>[2]</w:t>
      </w:r>
    </w:p>
    <w:p w14:paraId="22032A2C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费用采用固定情景：</w:t>
      </w:r>
      <w:r w:rsidRPr="006F3586">
        <w:rPr>
          <w:rFonts w:cs="Arial"/>
          <w:lang w:eastAsia="zh-CN"/>
        </w:rPr>
        <w:t xml:space="preserve">9 </w:t>
      </w:r>
      <w:r w:rsidRPr="006F3586">
        <w:rPr>
          <w:rFonts w:cs="Arial"/>
          <w:lang w:eastAsia="zh-CN"/>
        </w:rPr>
        <w:t>月</w:t>
      </w:r>
      <w:r w:rsidRPr="006F3586">
        <w:rPr>
          <w:rFonts w:cs="Arial"/>
          <w:lang w:eastAsia="zh-CN"/>
        </w:rPr>
        <w:t xml:space="preserve"> 10 </w:t>
      </w:r>
      <w:proofErr w:type="gramStart"/>
      <w:r w:rsidRPr="006F3586">
        <w:rPr>
          <w:rFonts w:cs="Arial"/>
          <w:lang w:eastAsia="zh-CN"/>
        </w:rPr>
        <w:t>日观察</w:t>
      </w:r>
      <w:proofErr w:type="gramEnd"/>
      <w:r w:rsidRPr="006F3586">
        <w:rPr>
          <w:rFonts w:cs="Arial"/>
          <w:lang w:eastAsia="zh-CN"/>
        </w:rPr>
        <w:t>到的现货</w:t>
      </w:r>
      <w:r w:rsidRPr="006F3586">
        <w:rPr>
          <w:rFonts w:cs="Arial"/>
          <w:lang w:eastAsia="zh-CN"/>
        </w:rPr>
        <w:t xml:space="preserve"> 7 bps</w:t>
      </w:r>
      <w:r w:rsidRPr="006F3586">
        <w:rPr>
          <w:rFonts w:cs="Arial"/>
          <w:lang w:eastAsia="zh-CN"/>
        </w:rPr>
        <w:t>、永续</w:t>
      </w:r>
      <w:r w:rsidRPr="006F3586">
        <w:rPr>
          <w:rFonts w:cs="Arial"/>
          <w:lang w:eastAsia="zh-CN"/>
        </w:rPr>
        <w:t xml:space="preserve"> 4.5 bps taker </w:t>
      </w:r>
      <w:r w:rsidRPr="006F3586">
        <w:rPr>
          <w:rFonts w:cs="Arial"/>
          <w:lang w:eastAsia="zh-CN"/>
        </w:rPr>
        <w:t>费率，</w:t>
      </w:r>
      <w:proofErr w:type="gramStart"/>
      <w:r w:rsidRPr="006F3586">
        <w:rPr>
          <w:rFonts w:cs="Arial"/>
          <w:lang w:eastAsia="zh-CN"/>
        </w:rPr>
        <w:t>加上每腿每次</w:t>
      </w:r>
      <w:proofErr w:type="gramEnd"/>
      <w:r w:rsidRPr="006F3586">
        <w:rPr>
          <w:rFonts w:cs="Arial"/>
          <w:lang w:eastAsia="zh-CN"/>
        </w:rPr>
        <w:t>交易</w:t>
      </w:r>
      <w:r w:rsidRPr="006F3586">
        <w:rPr>
          <w:rFonts w:cs="Arial"/>
          <w:lang w:eastAsia="zh-CN"/>
        </w:rPr>
        <w:t xml:space="preserve"> 2 bps </w:t>
      </w:r>
      <w:r w:rsidRPr="006F3586">
        <w:rPr>
          <w:rFonts w:cs="Arial"/>
          <w:lang w:eastAsia="zh-CN"/>
        </w:rPr>
        <w:t>执行成本。未重建历史费率及折扣。基准模型的</w:t>
      </w:r>
      <w:r w:rsidRPr="006F3586">
        <w:rPr>
          <w:rFonts w:cs="Arial"/>
          <w:lang w:eastAsia="zh-CN"/>
        </w:rPr>
        <w:t xml:space="preserve"> 14 </w:t>
      </w:r>
      <w:r w:rsidRPr="006F3586">
        <w:rPr>
          <w:rFonts w:cs="Arial"/>
          <w:lang w:eastAsia="zh-CN"/>
        </w:rPr>
        <w:t>日加权成交量低于</w:t>
      </w:r>
      <w:r w:rsidRPr="006F3586">
        <w:rPr>
          <w:rFonts w:cs="Arial"/>
          <w:lang w:eastAsia="zh-CN"/>
        </w:rPr>
        <w:t xml:space="preserve"> 60 </w:t>
      </w:r>
      <w:r w:rsidRPr="006F3586">
        <w:rPr>
          <w:rFonts w:cs="Arial"/>
          <w:lang w:eastAsia="zh-CN"/>
        </w:rPr>
        <w:t>万。往返预算约为单腿名义金额的</w:t>
      </w:r>
      <w:r w:rsidRPr="006F3586">
        <w:rPr>
          <w:rFonts w:cs="Arial"/>
          <w:lang w:eastAsia="zh-CN"/>
        </w:rPr>
        <w:t xml:space="preserve"> 31 bps</w:t>
      </w:r>
      <w:r w:rsidRPr="006F3586">
        <w:rPr>
          <w:rFonts w:cs="Arial"/>
          <w:lang w:eastAsia="zh-CN"/>
        </w:rPr>
        <w:t>，因此入场门槛为</w:t>
      </w:r>
      <w:r w:rsidRPr="006F3586">
        <w:rPr>
          <w:rFonts w:cs="Arial"/>
          <w:lang w:eastAsia="zh-CN"/>
        </w:rPr>
        <w:t xml:space="preserve"> 46.5 bps</w:t>
      </w:r>
      <w:r w:rsidRPr="006F3586">
        <w:rPr>
          <w:rFonts w:cs="Arial"/>
          <w:lang w:eastAsia="zh-CN"/>
        </w:rPr>
        <w:t>。融资、跨桥／服务费用和现金收益均假设为零。实际成交价中已包含</w:t>
      </w:r>
      <w:proofErr w:type="gramStart"/>
      <w:r w:rsidRPr="006F3586">
        <w:rPr>
          <w:rFonts w:cs="Arial"/>
          <w:lang w:eastAsia="zh-CN"/>
        </w:rPr>
        <w:t>的滑点不得</w:t>
      </w:r>
      <w:proofErr w:type="gramEnd"/>
      <w:r w:rsidRPr="006F3586">
        <w:rPr>
          <w:rFonts w:cs="Arial"/>
          <w:lang w:eastAsia="zh-CN"/>
        </w:rPr>
        <w:t>再次扣除。</w:t>
      </w:r>
      <w:r w:rsidRPr="006F3586">
        <w:rPr>
          <w:rFonts w:cs="Arial"/>
          <w:lang w:eastAsia="zh-CN"/>
        </w:rPr>
        <w:t>[3]</w:t>
      </w:r>
    </w:p>
    <w:p w14:paraId="6E75958D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/>
        <w:rPr>
          <w:lang w:eastAsia="zh-CN"/>
        </w:rPr>
      </w:pPr>
      <w:r w:rsidRPr="006F3586">
        <w:rPr>
          <w:rFonts w:cs="Arial"/>
          <w:lang w:eastAsia="zh-CN"/>
        </w:rPr>
        <w:lastRenderedPageBreak/>
        <w:t>表</w:t>
      </w:r>
      <w:r w:rsidRPr="006F3586">
        <w:rPr>
          <w:rFonts w:cs="Arial"/>
          <w:lang w:eastAsia="zh-CN"/>
        </w:rPr>
        <w:t xml:space="preserve"> 4.2 </w:t>
      </w:r>
      <w:r w:rsidRPr="006F3586">
        <w:rPr>
          <w:rFonts w:cs="Arial"/>
          <w:lang w:eastAsia="zh-CN"/>
        </w:rPr>
        <w:t>以全部资本为分母的条件绩效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5184"/>
        <w:gridCol w:w="2252"/>
        <w:gridCol w:w="2252"/>
      </w:tblGrid>
      <w:tr w:rsidR="004712C8" w:rsidRPr="006F3586" w14:paraId="3C5EF5AB" w14:textId="77777777">
        <w:trPr>
          <w:cantSplit/>
          <w:tblHeader/>
          <w:jc w:val="center"/>
        </w:trPr>
        <w:tc>
          <w:tcPr>
            <w:tcW w:w="5184" w:type="dxa"/>
            <w:shd w:val="clear" w:color="auto" w:fill="E8EDF0"/>
            <w:vAlign w:val="center"/>
          </w:tcPr>
          <w:p w14:paraId="2FF72B93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指标</w:t>
            </w:r>
          </w:p>
        </w:tc>
        <w:tc>
          <w:tcPr>
            <w:tcW w:w="2252" w:type="dxa"/>
            <w:shd w:val="clear" w:color="auto" w:fill="E8EDF0"/>
            <w:vAlign w:val="center"/>
          </w:tcPr>
          <w:p w14:paraId="384F68DD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被动版本</w:t>
            </w:r>
          </w:p>
        </w:tc>
        <w:tc>
          <w:tcPr>
            <w:tcW w:w="2252" w:type="dxa"/>
            <w:shd w:val="clear" w:color="auto" w:fill="E8EDF0"/>
            <w:vAlign w:val="center"/>
          </w:tcPr>
          <w:p w14:paraId="5976C48B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规则版本</w:t>
            </w:r>
          </w:p>
        </w:tc>
      </w:tr>
      <w:tr w:rsidR="004712C8" w:rsidRPr="006F3586" w14:paraId="4AB4BE42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22036D8D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净收益率</w:t>
            </w:r>
          </w:p>
        </w:tc>
        <w:tc>
          <w:tcPr>
            <w:tcW w:w="2252" w:type="dxa"/>
            <w:vAlign w:val="center"/>
          </w:tcPr>
          <w:p w14:paraId="788E782F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+1.93%</w:t>
            </w:r>
          </w:p>
        </w:tc>
        <w:tc>
          <w:tcPr>
            <w:tcW w:w="2252" w:type="dxa"/>
            <w:vAlign w:val="center"/>
          </w:tcPr>
          <w:p w14:paraId="0CA5AB99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−1.83%</w:t>
            </w:r>
          </w:p>
        </w:tc>
      </w:tr>
      <w:tr w:rsidR="004712C8" w:rsidRPr="006F3586" w14:paraId="2976F317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12F3D43A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proofErr w:type="gramStart"/>
            <w:r w:rsidRPr="006F3586">
              <w:rPr>
                <w:rFonts w:cs="Arial"/>
                <w:sz w:val="20"/>
                <w:lang w:eastAsia="zh-CN"/>
              </w:rPr>
              <w:t>日收益年化波动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率</w:t>
            </w:r>
          </w:p>
        </w:tc>
        <w:tc>
          <w:tcPr>
            <w:tcW w:w="2252" w:type="dxa"/>
            <w:vAlign w:val="center"/>
          </w:tcPr>
          <w:p w14:paraId="2F217E47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0.37%</w:t>
            </w:r>
          </w:p>
        </w:tc>
        <w:tc>
          <w:tcPr>
            <w:tcW w:w="2252" w:type="dxa"/>
            <w:vAlign w:val="center"/>
          </w:tcPr>
          <w:p w14:paraId="32F62F07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0.36%</w:t>
            </w:r>
          </w:p>
        </w:tc>
      </w:tr>
      <w:tr w:rsidR="004712C8" w:rsidRPr="006F3586" w14:paraId="3945AAB6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53588123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Sharpe / Sortino</w:t>
            </w:r>
          </w:p>
        </w:tc>
        <w:tc>
          <w:tcPr>
            <w:tcW w:w="2252" w:type="dxa"/>
            <w:vAlign w:val="center"/>
          </w:tcPr>
          <w:p w14:paraId="055EF602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5.19 / 8.73</w:t>
            </w:r>
          </w:p>
        </w:tc>
        <w:tc>
          <w:tcPr>
            <w:tcW w:w="2252" w:type="dxa"/>
            <w:vAlign w:val="center"/>
          </w:tcPr>
          <w:p w14:paraId="2710597C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−5.14 / −5.74</w:t>
            </w:r>
          </w:p>
        </w:tc>
      </w:tr>
      <w:tr w:rsidR="004712C8" w:rsidRPr="006F3586" w14:paraId="76DEE409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40B2D897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日收盘最大回撤</w:t>
            </w:r>
          </w:p>
        </w:tc>
        <w:tc>
          <w:tcPr>
            <w:tcW w:w="2252" w:type="dxa"/>
            <w:vAlign w:val="center"/>
          </w:tcPr>
          <w:p w14:paraId="282BF5D8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−0.10%</w:t>
            </w:r>
          </w:p>
        </w:tc>
        <w:tc>
          <w:tcPr>
            <w:tcW w:w="2252" w:type="dxa"/>
            <w:vAlign w:val="center"/>
          </w:tcPr>
          <w:p w14:paraId="398322E8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−2.19%</w:t>
            </w:r>
          </w:p>
        </w:tc>
      </w:tr>
      <w:tr w:rsidR="004712C8" w:rsidRPr="006F3586" w14:paraId="49BCB5E6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5FDF3197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最差日／滚动七日</w:t>
            </w:r>
          </w:p>
        </w:tc>
        <w:tc>
          <w:tcPr>
            <w:tcW w:w="2252" w:type="dxa"/>
            <w:vAlign w:val="center"/>
          </w:tcPr>
          <w:p w14:paraId="107E65AB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−0.08% / −0.07%</w:t>
            </w:r>
          </w:p>
        </w:tc>
        <w:tc>
          <w:tcPr>
            <w:tcW w:w="2252" w:type="dxa"/>
            <w:vAlign w:val="center"/>
          </w:tcPr>
          <w:p w14:paraId="5C0F159B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−0.08% / −0.19%</w:t>
            </w:r>
          </w:p>
        </w:tc>
      </w:tr>
      <w:tr w:rsidR="004712C8" w:rsidRPr="006F3586" w14:paraId="4A4EE669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679B032E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自回撤谷底恢复时间</w:t>
            </w:r>
          </w:p>
        </w:tc>
        <w:tc>
          <w:tcPr>
            <w:tcW w:w="2252" w:type="dxa"/>
            <w:vAlign w:val="center"/>
          </w:tcPr>
          <w:p w14:paraId="40D5F89E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 xml:space="preserve">19 </w:t>
            </w:r>
            <w:r w:rsidRPr="006F3586">
              <w:rPr>
                <w:rFonts w:cs="Arial"/>
                <w:sz w:val="20"/>
                <w:lang w:eastAsia="zh-CN"/>
              </w:rPr>
              <w:t>日</w:t>
            </w:r>
          </w:p>
        </w:tc>
        <w:tc>
          <w:tcPr>
            <w:tcW w:w="2252" w:type="dxa"/>
            <w:vAlign w:val="center"/>
          </w:tcPr>
          <w:p w14:paraId="6BAF975E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截止日未恢复</w:t>
            </w:r>
          </w:p>
        </w:tc>
      </w:tr>
      <w:tr w:rsidR="004712C8" w:rsidRPr="006F3586" w14:paraId="11B40B82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4FEA2E53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双腿换手金额／平均权益</w:t>
            </w:r>
          </w:p>
        </w:tc>
        <w:tc>
          <w:tcPr>
            <w:tcW w:w="2252" w:type="dxa"/>
            <w:vAlign w:val="center"/>
          </w:tcPr>
          <w:p w14:paraId="65FFFA5F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7.09×</w:t>
            </w:r>
          </w:p>
        </w:tc>
        <w:tc>
          <w:tcPr>
            <w:tcW w:w="2252" w:type="dxa"/>
            <w:vAlign w:val="center"/>
          </w:tcPr>
          <w:p w14:paraId="2834EEA6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42.74×</w:t>
            </w:r>
          </w:p>
        </w:tc>
      </w:tr>
      <w:tr w:rsidR="004712C8" w:rsidRPr="006F3586" w14:paraId="79B31C76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432A2C5B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成本／正毛损益</w:t>
            </w:r>
          </w:p>
        </w:tc>
        <w:tc>
          <w:tcPr>
            <w:tcW w:w="2252" w:type="dxa"/>
            <w:vAlign w:val="center"/>
          </w:tcPr>
          <w:p w14:paraId="43F4666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22.4%</w:t>
            </w:r>
          </w:p>
        </w:tc>
        <w:tc>
          <w:tcPr>
            <w:tcW w:w="2252" w:type="dxa"/>
            <w:vAlign w:val="center"/>
          </w:tcPr>
          <w:p w14:paraId="1208E12C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224.6%</w:t>
            </w:r>
          </w:p>
        </w:tc>
      </w:tr>
      <w:tr w:rsidR="004712C8" w:rsidRPr="006F3586" w14:paraId="35ACBA72" w14:textId="77777777">
        <w:trPr>
          <w:cantSplit/>
          <w:jc w:val="center"/>
        </w:trPr>
        <w:tc>
          <w:tcPr>
            <w:tcW w:w="5184" w:type="dxa"/>
            <w:vAlign w:val="center"/>
          </w:tcPr>
          <w:p w14:paraId="6757E602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 xml:space="preserve">5–8 </w:t>
            </w:r>
            <w:r w:rsidRPr="006F3586">
              <w:rPr>
                <w:rFonts w:cs="Arial"/>
                <w:sz w:val="20"/>
                <w:lang w:eastAsia="zh-CN"/>
              </w:rPr>
              <w:t>月净收益率</w:t>
            </w:r>
          </w:p>
        </w:tc>
        <w:tc>
          <w:tcPr>
            <w:tcW w:w="2252" w:type="dxa"/>
            <w:vAlign w:val="center"/>
          </w:tcPr>
          <w:p w14:paraId="321FC068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+0.75%</w:t>
            </w:r>
          </w:p>
        </w:tc>
        <w:tc>
          <w:tcPr>
            <w:tcW w:w="2252" w:type="dxa"/>
            <w:vAlign w:val="center"/>
          </w:tcPr>
          <w:p w14:paraId="07251BEB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  <w:jc w:val="center"/>
            </w:pPr>
            <w:r w:rsidRPr="006F3586">
              <w:rPr>
                <w:rFonts w:cs="Arial"/>
                <w:sz w:val="20"/>
                <w:lang w:eastAsia="zh-CN"/>
              </w:rPr>
              <w:t>−0.84%</w:t>
            </w:r>
          </w:p>
        </w:tc>
      </w:tr>
    </w:tbl>
    <w:p w14:paraId="3E798A78" w14:textId="77777777" w:rsidR="004712C8" w:rsidRPr="006F3586" w:rsidRDefault="004712C8" w:rsidP="006F3586">
      <w:pPr>
        <w:suppressLineNumbers/>
        <w:suppressAutoHyphens/>
        <w:overflowPunct w:val="0"/>
        <w:spacing w:after="0" w:line="80" w:lineRule="exact"/>
      </w:pPr>
    </w:p>
    <w:p w14:paraId="57C1FC60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drawing>
          <wp:inline distT="0" distB="0" distL="0" distR="0" wp14:anchorId="105E5C66" wp14:editId="0F0B6683">
            <wp:extent cx="6035040" cy="3498016"/>
            <wp:effectExtent l="0" t="0" r="0" b="0"/>
            <wp:docPr id="3" name="Picture 3" descr="图 4.1 全资本净值与日收盘回撤。阴影区域为事后划定的留出区间。来源：官方 API 观测及作者模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9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E676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4.1 </w:t>
      </w:r>
      <w:proofErr w:type="gramStart"/>
      <w:r w:rsidRPr="006F3586">
        <w:rPr>
          <w:rFonts w:cs="Arial"/>
          <w:b w:val="0"/>
          <w:bCs w:val="0"/>
          <w:lang w:eastAsia="zh-CN"/>
        </w:rPr>
        <w:t>全资本</w:t>
      </w:r>
      <w:proofErr w:type="gramEnd"/>
      <w:r w:rsidRPr="006F3586">
        <w:rPr>
          <w:rFonts w:cs="Arial"/>
          <w:b w:val="0"/>
          <w:bCs w:val="0"/>
          <w:lang w:eastAsia="zh-CN"/>
        </w:rPr>
        <w:t>净值与日收盘回撤。阴影区域为事后划定的留出区间。来源：官方</w:t>
      </w:r>
      <w:r w:rsidRPr="006F3586">
        <w:rPr>
          <w:rFonts w:cs="Arial"/>
          <w:b w:val="0"/>
          <w:bCs w:val="0"/>
          <w:lang w:eastAsia="zh-CN"/>
        </w:rPr>
        <w:t xml:space="preserve"> API </w:t>
      </w:r>
      <w:r w:rsidRPr="006F3586">
        <w:rPr>
          <w:rFonts w:cs="Arial"/>
          <w:b w:val="0"/>
          <w:bCs w:val="0"/>
          <w:lang w:eastAsia="zh-CN"/>
        </w:rPr>
        <w:t>观测及作者模型。</w:t>
      </w:r>
    </w:p>
    <w:p w14:paraId="25C512D0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proofErr w:type="gramStart"/>
      <w:r w:rsidRPr="006F3586">
        <w:rPr>
          <w:rFonts w:cs="Arial"/>
          <w:lang w:eastAsia="zh-CN"/>
        </w:rPr>
        <w:t>日收益</w:t>
      </w:r>
      <w:proofErr w:type="gramEnd"/>
      <w:r w:rsidRPr="006F3586">
        <w:rPr>
          <w:rFonts w:cs="Arial"/>
          <w:lang w:eastAsia="zh-CN"/>
        </w:rPr>
        <w:t>以</w:t>
      </w:r>
      <w:r w:rsidRPr="006F3586">
        <w:rPr>
          <w:rFonts w:cs="Arial"/>
          <w:lang w:eastAsia="zh-CN"/>
        </w:rPr>
        <w:t xml:space="preserve"> 365 </w:t>
      </w:r>
      <w:r w:rsidRPr="006F3586">
        <w:rPr>
          <w:rFonts w:cs="Arial"/>
          <w:lang w:eastAsia="zh-CN"/>
        </w:rPr>
        <w:t>日年化。</w:t>
      </w:r>
      <w:r w:rsidRPr="006F3586">
        <w:rPr>
          <w:rFonts w:cs="Arial"/>
          <w:lang w:eastAsia="zh-CN"/>
        </w:rPr>
        <w:t xml:space="preserve">Sharpe </w:t>
      </w:r>
      <w:r w:rsidRPr="006F3586">
        <w:rPr>
          <w:rFonts w:cs="Arial"/>
          <w:lang w:eastAsia="zh-CN"/>
        </w:rPr>
        <w:t>的现金基准与</w:t>
      </w:r>
      <w:r w:rsidRPr="006F3586">
        <w:rPr>
          <w:rFonts w:cs="Arial"/>
          <w:lang w:eastAsia="zh-CN"/>
        </w:rPr>
        <w:t xml:space="preserve"> Sortino </w:t>
      </w:r>
      <w:r w:rsidRPr="006F3586">
        <w:rPr>
          <w:rFonts w:cs="Arial"/>
          <w:lang w:eastAsia="zh-CN"/>
        </w:rPr>
        <w:t>的目标均为零；下行偏差包含全部交易日。这些比率不能证明策略可承受日内保证金压力，也不能验证运营可靠性。</w:t>
      </w:r>
    </w:p>
    <w:p w14:paraId="146F7627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lastRenderedPageBreak/>
        <w:drawing>
          <wp:inline distT="0" distB="0" distL="0" distR="0" wp14:anchorId="43685E92" wp14:editId="1600DC9C">
            <wp:extent cx="6035040" cy="3100746"/>
            <wp:effectExtent l="0" t="0" r="0" b="0"/>
            <wp:docPr id="4" name="Picture 4" descr="图 4.2 价格损益、资金费与净损益对账。费用以 USDC 计，为模型估计，并非已核验的实际交易费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7FAD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4.2 </w:t>
      </w:r>
      <w:r w:rsidRPr="006F3586">
        <w:rPr>
          <w:rFonts w:cs="Arial"/>
          <w:b w:val="0"/>
          <w:bCs w:val="0"/>
          <w:lang w:eastAsia="zh-CN"/>
        </w:rPr>
        <w:t>价格损益、资金费与净损益对账。费用以</w:t>
      </w:r>
      <w:r w:rsidRPr="006F3586">
        <w:rPr>
          <w:rFonts w:cs="Arial"/>
          <w:b w:val="0"/>
          <w:bCs w:val="0"/>
          <w:lang w:eastAsia="zh-CN"/>
        </w:rPr>
        <w:t xml:space="preserve"> USDC </w:t>
      </w:r>
      <w:r w:rsidRPr="006F3586">
        <w:rPr>
          <w:rFonts w:cs="Arial"/>
          <w:b w:val="0"/>
          <w:bCs w:val="0"/>
          <w:lang w:eastAsia="zh-CN"/>
        </w:rPr>
        <w:t>计，为模型估计，并非已核验的实际交易费用。</w:t>
      </w:r>
    </w:p>
    <w:p w14:paraId="1472CA98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被动策略毛损益为</w:t>
      </w:r>
      <w:r w:rsidRPr="006F3586">
        <w:rPr>
          <w:rFonts w:cs="Arial"/>
          <w:lang w:eastAsia="zh-CN"/>
        </w:rPr>
        <w:t xml:space="preserve"> 2,480 USDC</w:t>
      </w:r>
      <w:r w:rsidRPr="006F3586">
        <w:rPr>
          <w:rFonts w:cs="Arial"/>
          <w:lang w:eastAsia="zh-CN"/>
        </w:rPr>
        <w:t>，</w:t>
      </w:r>
      <w:proofErr w:type="gramStart"/>
      <w:r w:rsidRPr="006F3586">
        <w:rPr>
          <w:rFonts w:cs="Arial"/>
          <w:lang w:eastAsia="zh-CN"/>
        </w:rPr>
        <w:t>扣费后</w:t>
      </w:r>
      <w:proofErr w:type="gramEnd"/>
      <w:r w:rsidRPr="006F3586">
        <w:rPr>
          <w:rFonts w:cs="Arial"/>
          <w:lang w:eastAsia="zh-CN"/>
        </w:rPr>
        <w:t>为</w:t>
      </w:r>
      <w:r w:rsidRPr="006F3586">
        <w:rPr>
          <w:rFonts w:cs="Arial"/>
          <w:lang w:eastAsia="zh-CN"/>
        </w:rPr>
        <w:t xml:space="preserve"> 1,925</w:t>
      </w:r>
      <w:r w:rsidRPr="006F3586">
        <w:rPr>
          <w:rFonts w:cs="Arial"/>
          <w:lang w:eastAsia="zh-CN"/>
        </w:rPr>
        <w:t>；规则版本毛损益为</w:t>
      </w:r>
      <w:r w:rsidRPr="006F3586">
        <w:rPr>
          <w:rFonts w:cs="Arial"/>
          <w:lang w:eastAsia="zh-CN"/>
        </w:rPr>
        <w:t xml:space="preserve"> 1,465</w:t>
      </w:r>
      <w:r w:rsidRPr="006F3586">
        <w:rPr>
          <w:rFonts w:cs="Arial"/>
          <w:lang w:eastAsia="zh-CN"/>
        </w:rPr>
        <w:t>，成本却达到</w:t>
      </w:r>
      <w:r w:rsidRPr="006F3586">
        <w:rPr>
          <w:rFonts w:cs="Arial"/>
          <w:lang w:eastAsia="zh-CN"/>
        </w:rPr>
        <w:t xml:space="preserve"> 3,292</w:t>
      </w:r>
      <w:r w:rsidRPr="006F3586">
        <w:rPr>
          <w:rFonts w:cs="Arial"/>
          <w:lang w:eastAsia="zh-CN"/>
        </w:rPr>
        <w:t>。</w:t>
      </w:r>
      <w:r w:rsidRPr="006F3586">
        <w:rPr>
          <w:rFonts w:cs="Arial"/>
          <w:lang w:eastAsia="zh-CN"/>
        </w:rPr>
        <w:t xml:space="preserve">50 </w:t>
      </w:r>
      <w:r w:rsidRPr="006F3586">
        <w:rPr>
          <w:rFonts w:cs="Arial"/>
          <w:lang w:eastAsia="zh-CN"/>
        </w:rPr>
        <w:t>次非期末退出中，</w:t>
      </w:r>
      <w:r w:rsidRPr="006F3586">
        <w:rPr>
          <w:rFonts w:cs="Arial"/>
          <w:lang w:eastAsia="zh-CN"/>
        </w:rPr>
        <w:t xml:space="preserve">41 </w:t>
      </w:r>
      <w:r w:rsidRPr="006F3586">
        <w:rPr>
          <w:rFonts w:cs="Arial"/>
          <w:lang w:eastAsia="zh-CN"/>
        </w:rPr>
        <w:t>次由流动性条件失效触发。</w:t>
      </w:r>
      <w:r w:rsidRPr="006F3586">
        <w:rPr>
          <w:rFonts w:cs="Arial"/>
          <w:lang w:eastAsia="zh-CN"/>
        </w:rPr>
        <w:t xml:space="preserve">BTC/ETH </w:t>
      </w:r>
      <w:r w:rsidRPr="006F3586">
        <w:rPr>
          <w:rFonts w:cs="Arial"/>
          <w:lang w:eastAsia="zh-CN"/>
        </w:rPr>
        <w:t>持仓段中位数仅四／两日，削弱了</w:t>
      </w:r>
      <w:r w:rsidRPr="006F3586">
        <w:rPr>
          <w:rFonts w:cs="Arial"/>
          <w:lang w:eastAsia="zh-CN"/>
        </w:rPr>
        <w:t xml:space="preserve"> 30 </w:t>
      </w:r>
      <w:r w:rsidRPr="006F3586">
        <w:rPr>
          <w:rFonts w:cs="Arial"/>
          <w:lang w:eastAsia="zh-CN"/>
        </w:rPr>
        <w:t>日回本假设。删除该筛选条件后的诊断回报为</w:t>
      </w:r>
      <w:r w:rsidRPr="006F3586">
        <w:rPr>
          <w:rFonts w:cs="Arial"/>
          <w:lang w:eastAsia="zh-CN"/>
        </w:rPr>
        <w:t xml:space="preserve"> +0.81%</w:t>
      </w:r>
      <w:r w:rsidRPr="006F3586">
        <w:rPr>
          <w:rFonts w:cs="Arial"/>
          <w:lang w:eastAsia="zh-CN"/>
        </w:rPr>
        <w:t>，仍不能证明可执行性。</w:t>
      </w:r>
    </w:p>
    <w:p w14:paraId="12D2EC48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drawing>
          <wp:inline distT="0" distB="0" distL="0" distR="0" wp14:anchorId="3A1C10C8" wp14:editId="61BCA6C4">
            <wp:extent cx="6035040" cy="3155638"/>
            <wp:effectExtent l="0" t="0" r="0" b="0"/>
            <wp:docPr id="5" name="Picture 5" descr="图 4.3 固定基准持仓路径下的成本敏感性。矩阵改变费用，不重新运行入场决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4F70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4.3 </w:t>
      </w:r>
      <w:r w:rsidRPr="006F3586">
        <w:rPr>
          <w:rFonts w:cs="Arial"/>
          <w:b w:val="0"/>
          <w:bCs w:val="0"/>
          <w:lang w:eastAsia="zh-CN"/>
        </w:rPr>
        <w:t>固定基准持仓路径下的成本敏感性。矩阵改变费用，不重新运行入场决策。</w:t>
      </w:r>
    </w:p>
    <w:p w14:paraId="065747E5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5–8 </w:t>
      </w:r>
      <w:r w:rsidRPr="006F3586">
        <w:rPr>
          <w:rFonts w:cs="Arial"/>
          <w:lang w:eastAsia="zh-CN"/>
        </w:rPr>
        <w:t>月为事后留出区间，因为此前已查看全期资金费率。</w:t>
      </w:r>
      <w:r w:rsidRPr="006F3586">
        <w:rPr>
          <w:rFonts w:cs="Arial"/>
          <w:lang w:eastAsia="zh-CN"/>
        </w:rPr>
        <w:t xml:space="preserve">24/72/168 </w:t>
      </w:r>
      <w:r w:rsidRPr="006F3586">
        <w:rPr>
          <w:rFonts w:cs="Arial"/>
          <w:lang w:eastAsia="zh-CN"/>
        </w:rPr>
        <w:t>小时窗口与</w:t>
      </w:r>
      <w:r w:rsidRPr="006F3586">
        <w:rPr>
          <w:rFonts w:cs="Arial"/>
          <w:lang w:eastAsia="zh-CN"/>
        </w:rPr>
        <w:t xml:space="preserve"> 1/1.5/2 </w:t>
      </w:r>
      <w:proofErr w:type="gramStart"/>
      <w:r w:rsidRPr="006F3586">
        <w:rPr>
          <w:rFonts w:cs="Arial"/>
          <w:lang w:eastAsia="zh-CN"/>
        </w:rPr>
        <w:t>倍</w:t>
      </w:r>
      <w:proofErr w:type="gramEnd"/>
      <w:r w:rsidRPr="006F3586">
        <w:rPr>
          <w:rFonts w:cs="Arial"/>
          <w:lang w:eastAsia="zh-CN"/>
        </w:rPr>
        <w:t>成本缓冲组成的九组参数均亏损，范围为</w:t>
      </w:r>
      <w:r w:rsidRPr="006F3586">
        <w:rPr>
          <w:rFonts w:cs="Arial"/>
          <w:lang w:eastAsia="zh-CN"/>
        </w:rPr>
        <w:t xml:space="preserve"> −2.73% </w:t>
      </w:r>
      <w:r w:rsidRPr="006F3586">
        <w:rPr>
          <w:rFonts w:cs="Arial"/>
          <w:lang w:eastAsia="zh-CN"/>
        </w:rPr>
        <w:t>至</w:t>
      </w:r>
      <w:r w:rsidRPr="006F3586">
        <w:rPr>
          <w:rFonts w:cs="Arial"/>
          <w:lang w:eastAsia="zh-CN"/>
        </w:rPr>
        <w:t xml:space="preserve"> −0.97%</w:t>
      </w:r>
      <w:r w:rsidRPr="006F3586">
        <w:rPr>
          <w:rFonts w:cs="Arial"/>
          <w:lang w:eastAsia="zh-CN"/>
        </w:rPr>
        <w:t>。固定持仓后，将费用翻倍、执行成本提高至</w:t>
      </w:r>
      <w:r w:rsidRPr="006F3586">
        <w:rPr>
          <w:rFonts w:cs="Arial"/>
          <w:lang w:eastAsia="zh-CN"/>
        </w:rPr>
        <w:t xml:space="preserve"> 10 bps</w:t>
      </w:r>
      <w:r w:rsidRPr="006F3586">
        <w:rPr>
          <w:rFonts w:cs="Arial"/>
          <w:lang w:eastAsia="zh-CN"/>
        </w:rPr>
        <w:t>，回报变为</w:t>
      </w:r>
      <w:r w:rsidRPr="006F3586">
        <w:rPr>
          <w:rFonts w:cs="Arial"/>
          <w:lang w:eastAsia="zh-CN"/>
        </w:rPr>
        <w:t xml:space="preserve"> +0.94%/−7.67%</w:t>
      </w:r>
      <w:r w:rsidRPr="006F3586">
        <w:rPr>
          <w:rFonts w:cs="Arial"/>
          <w:lang w:eastAsia="zh-CN"/>
        </w:rPr>
        <w:t>。真正的前瞻</w:t>
      </w:r>
      <w:proofErr w:type="gramStart"/>
      <w:r w:rsidRPr="006F3586">
        <w:rPr>
          <w:rFonts w:cs="Arial"/>
          <w:lang w:eastAsia="zh-CN"/>
        </w:rPr>
        <w:t>验证仍</w:t>
      </w:r>
      <w:proofErr w:type="gramEnd"/>
      <w:r w:rsidRPr="006F3586">
        <w:rPr>
          <w:rFonts w:cs="Arial"/>
          <w:lang w:eastAsia="zh-CN"/>
        </w:rPr>
        <w:t>未完成。</w:t>
      </w:r>
    </w:p>
    <w:p w14:paraId="5D6DC540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5 HLP </w:t>
      </w:r>
      <w:r w:rsidRPr="006F3586">
        <w:rPr>
          <w:rFonts w:cs="Arial"/>
          <w:b w:val="0"/>
          <w:bCs w:val="0"/>
          <w:lang w:eastAsia="zh-CN"/>
        </w:rPr>
        <w:t>与公开金库</w:t>
      </w:r>
    </w:p>
    <w:p w14:paraId="573516C5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HLP </w:t>
      </w:r>
      <w:r w:rsidRPr="006F3586">
        <w:rPr>
          <w:rFonts w:cs="Arial"/>
          <w:lang w:eastAsia="zh-CN"/>
        </w:rPr>
        <w:t>当前官方说明包含做市、清算、向</w:t>
      </w:r>
      <w:r w:rsidRPr="006F3586">
        <w:rPr>
          <w:rFonts w:cs="Arial"/>
          <w:lang w:eastAsia="zh-CN"/>
        </w:rPr>
        <w:t xml:space="preserve"> Earn </w:t>
      </w:r>
      <w:r w:rsidRPr="006F3586">
        <w:rPr>
          <w:rFonts w:cs="Arial"/>
          <w:lang w:eastAsia="zh-CN"/>
        </w:rPr>
        <w:t>供给</w:t>
      </w:r>
      <w:r w:rsidRPr="006F3586">
        <w:rPr>
          <w:rFonts w:cs="Arial"/>
          <w:lang w:eastAsia="zh-CN"/>
        </w:rPr>
        <w:t xml:space="preserve"> USDC </w:t>
      </w:r>
      <w:r w:rsidRPr="006F3586">
        <w:rPr>
          <w:rFonts w:cs="Arial"/>
          <w:lang w:eastAsia="zh-CN"/>
        </w:rPr>
        <w:t>以及交易费收入。各项机制的历史生效时间与交易归因仍需核验；总体利润不能证明可复制的管理人</w:t>
      </w:r>
      <w:r w:rsidRPr="006F3586">
        <w:rPr>
          <w:rFonts w:cs="Arial"/>
          <w:lang w:eastAsia="zh-CN"/>
        </w:rPr>
        <w:t xml:space="preserve"> alpha</w:t>
      </w:r>
      <w:r w:rsidRPr="006F3586">
        <w:rPr>
          <w:rFonts w:cs="Arial"/>
          <w:lang w:eastAsia="zh-CN"/>
        </w:rPr>
        <w:t>。</w:t>
      </w:r>
      <w:r w:rsidRPr="006F3586">
        <w:rPr>
          <w:rFonts w:cs="Arial"/>
          <w:lang w:eastAsia="zh-CN"/>
        </w:rPr>
        <w:t>[4]</w:t>
      </w:r>
    </w:p>
    <w:p w14:paraId="2AB75A56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绩效核验。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官方账本包含</w:t>
      </w:r>
      <w:r w:rsidRPr="006F3586">
        <w:rPr>
          <w:rFonts w:cs="Arial"/>
          <w:lang w:eastAsia="zh-CN"/>
        </w:rPr>
        <w:t xml:space="preserve"> 55,171 </w:t>
      </w:r>
      <w:r w:rsidRPr="006F3586">
        <w:rPr>
          <w:rFonts w:cs="Arial"/>
          <w:lang w:eastAsia="zh-CN"/>
        </w:rPr>
        <w:t>笔存入、</w:t>
      </w:r>
      <w:r w:rsidRPr="006F3586">
        <w:rPr>
          <w:rFonts w:cs="Arial"/>
          <w:lang w:eastAsia="zh-CN"/>
        </w:rPr>
        <w:t xml:space="preserve">60,128 </w:t>
      </w:r>
      <w:r w:rsidRPr="006F3586">
        <w:rPr>
          <w:rFonts w:cs="Arial"/>
          <w:lang w:eastAsia="zh-CN"/>
        </w:rPr>
        <w:t>笔提取、</w:t>
      </w:r>
      <w:r w:rsidRPr="006F3586">
        <w:rPr>
          <w:rFonts w:cs="Arial"/>
          <w:lang w:eastAsia="zh-CN"/>
        </w:rPr>
        <w:t xml:space="preserve">221 </w:t>
      </w:r>
      <w:r w:rsidRPr="006F3586">
        <w:rPr>
          <w:rFonts w:cs="Arial"/>
          <w:lang w:eastAsia="zh-CN"/>
        </w:rPr>
        <w:t>笔所持金库间再配置，以及两笔合计</w:t>
      </w:r>
      <w:r w:rsidRPr="006F3586">
        <w:rPr>
          <w:rFonts w:cs="Arial"/>
          <w:lang w:eastAsia="zh-CN"/>
        </w:rPr>
        <w:t xml:space="preserve"> 6.96 USDC </w:t>
      </w:r>
      <w:r w:rsidRPr="006F3586">
        <w:rPr>
          <w:rFonts w:cs="Arial"/>
          <w:lang w:eastAsia="zh-CN"/>
        </w:rPr>
        <w:t>的其他转入。内部再配置不计入外部现金流。母账户价值已包含所持金库余额，再加子金库会重复计算。所观察到的外部提款佣金及平仓费用均为零。</w:t>
      </w:r>
      <w:r w:rsidRPr="006F3586">
        <w:rPr>
          <w:rFonts w:cs="Arial"/>
          <w:lang w:eastAsia="zh-CN"/>
        </w:rPr>
        <w:t>[1, 5]</w:t>
      </w:r>
    </w:p>
    <w:p w14:paraId="571155C1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精确时间加权收益需要每次外部现金流前后的即时估值：</w:t>
      </w:r>
    </w:p>
    <w:p w14:paraId="4F13B603" w14:textId="77777777" w:rsidR="004712C8" w:rsidRPr="006F3586" w:rsidRDefault="00000000" w:rsidP="006F3586">
      <w:pPr>
        <w:suppressLineNumbers/>
        <w:suppressAutoHyphens/>
        <w:overflowPunct w:val="0"/>
        <w:spacing w:before="20" w:after="100" w:line="240" w:lineRule="auto"/>
        <w:jc w:val="center"/>
      </w:pPr>
      <w:r w:rsidRPr="006F3586">
        <w:rPr>
          <w:noProof/>
        </w:rPr>
        <w:drawing>
          <wp:inline distT="0" distB="0" distL="0" distR="0" wp14:anchorId="1D568C70" wp14:editId="1C56795C">
            <wp:extent cx="5669280" cy="591577"/>
            <wp:effectExtent l="0" t="0" r="0" b="0"/>
            <wp:docPr id="6" name="Picture 6" descr="Exact time weighted return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7651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其中</w:t>
      </w:r>
      <w:r w:rsidRPr="006F3586">
        <w:rPr>
          <w:rFonts w:cs="Arial"/>
          <w:lang w:eastAsia="zh-CN"/>
        </w:rPr>
        <w:t xml:space="preserve"> V−/V+ </w:t>
      </w:r>
      <w:r w:rsidRPr="006F3586">
        <w:rPr>
          <w:rFonts w:cs="Arial"/>
          <w:lang w:eastAsia="zh-CN"/>
        </w:rPr>
        <w:t>分别为现金流前／后的价值，</w:t>
      </w:r>
      <w:r w:rsidRPr="006F3586">
        <w:rPr>
          <w:rFonts w:cs="Arial"/>
          <w:lang w:eastAsia="zh-CN"/>
        </w:rPr>
        <w:t xml:space="preserve">CF </w:t>
      </w:r>
      <w:r w:rsidRPr="006F3586">
        <w:rPr>
          <w:rFonts w:cs="Arial"/>
          <w:lang w:eastAsia="zh-CN"/>
        </w:rPr>
        <w:t>为外部现金流。现有记录不具备这些估值，因此使用</w:t>
      </w:r>
      <w:r w:rsidRPr="006F3586">
        <w:rPr>
          <w:rFonts w:cs="Arial"/>
          <w:lang w:eastAsia="zh-CN"/>
        </w:rPr>
        <w:t xml:space="preserve"> 2025 </w:t>
      </w:r>
      <w:r w:rsidRPr="006F3586">
        <w:rPr>
          <w:rFonts w:cs="Arial"/>
          <w:lang w:eastAsia="zh-CN"/>
        </w:rPr>
        <w:t>年</w:t>
      </w:r>
      <w:r w:rsidRPr="006F3586">
        <w:rPr>
          <w:rFonts w:cs="Arial"/>
          <w:lang w:eastAsia="zh-CN"/>
        </w:rPr>
        <w:t xml:space="preserve"> 9 </w:t>
      </w:r>
      <w:r w:rsidRPr="006F3586">
        <w:rPr>
          <w:rFonts w:cs="Arial"/>
          <w:lang w:eastAsia="zh-CN"/>
        </w:rPr>
        <w:t>月</w:t>
      </w:r>
      <w:r w:rsidRPr="006F3586">
        <w:rPr>
          <w:rFonts w:cs="Arial"/>
          <w:lang w:eastAsia="zh-CN"/>
        </w:rPr>
        <w:t xml:space="preserve"> 3 </w:t>
      </w:r>
      <w:r w:rsidRPr="006F3586">
        <w:rPr>
          <w:rFonts w:cs="Arial"/>
          <w:lang w:eastAsia="zh-CN"/>
        </w:rPr>
        <w:t>日至</w:t>
      </w:r>
      <w:r w:rsidRPr="006F3586">
        <w:rPr>
          <w:rFonts w:cs="Arial"/>
          <w:lang w:eastAsia="zh-CN"/>
        </w:rPr>
        <w:t xml:space="preserve"> 2026 </w:t>
      </w:r>
      <w:r w:rsidRPr="006F3586">
        <w:rPr>
          <w:rFonts w:cs="Arial"/>
          <w:lang w:eastAsia="zh-CN"/>
        </w:rPr>
        <w:t>年</w:t>
      </w:r>
      <w:r w:rsidRPr="006F3586">
        <w:rPr>
          <w:rFonts w:cs="Arial"/>
          <w:lang w:eastAsia="zh-CN"/>
        </w:rPr>
        <w:t xml:space="preserve"> 8 </w:t>
      </w:r>
      <w:r w:rsidRPr="006F3586">
        <w:rPr>
          <w:rFonts w:cs="Arial"/>
          <w:lang w:eastAsia="zh-CN"/>
        </w:rPr>
        <w:t>月</w:t>
      </w:r>
      <w:r w:rsidRPr="006F3586">
        <w:rPr>
          <w:rFonts w:cs="Arial"/>
          <w:lang w:eastAsia="zh-CN"/>
        </w:rPr>
        <w:t xml:space="preserve"> 31 </w:t>
      </w:r>
      <w:r w:rsidRPr="006F3586">
        <w:rPr>
          <w:rFonts w:cs="Arial"/>
          <w:lang w:eastAsia="zh-CN"/>
        </w:rPr>
        <w:t>日的</w:t>
      </w:r>
      <w:r w:rsidRPr="006F3586">
        <w:rPr>
          <w:rFonts w:cs="Arial"/>
          <w:lang w:eastAsia="zh-CN"/>
        </w:rPr>
        <w:t xml:space="preserve"> 48 </w:t>
      </w:r>
      <w:proofErr w:type="gramStart"/>
      <w:r w:rsidRPr="006F3586">
        <w:rPr>
          <w:rFonts w:cs="Arial"/>
          <w:lang w:eastAsia="zh-CN"/>
        </w:rPr>
        <w:t>个</w:t>
      </w:r>
      <w:proofErr w:type="gramEnd"/>
      <w:r w:rsidRPr="006F3586">
        <w:rPr>
          <w:rFonts w:cs="Arial"/>
          <w:lang w:eastAsia="zh-CN"/>
        </w:rPr>
        <w:t>不规则估值点形成</w:t>
      </w:r>
      <w:r w:rsidRPr="006F3586">
        <w:rPr>
          <w:rFonts w:cs="Arial"/>
          <w:lang w:eastAsia="zh-CN"/>
        </w:rPr>
        <w:t xml:space="preserve"> 47 </w:t>
      </w:r>
      <w:proofErr w:type="gramStart"/>
      <w:r w:rsidRPr="006F3586">
        <w:rPr>
          <w:rFonts w:cs="Arial"/>
          <w:lang w:eastAsia="zh-CN"/>
        </w:rPr>
        <w:t>个</w:t>
      </w:r>
      <w:proofErr w:type="gramEnd"/>
      <w:r w:rsidRPr="006F3586">
        <w:rPr>
          <w:rFonts w:cs="Arial"/>
          <w:lang w:eastAsia="zh-CN"/>
        </w:rPr>
        <w:t>区间。按现金</w:t>
      </w:r>
      <w:proofErr w:type="gramStart"/>
      <w:r w:rsidRPr="006F3586">
        <w:rPr>
          <w:rFonts w:cs="Arial"/>
          <w:lang w:eastAsia="zh-CN"/>
        </w:rPr>
        <w:t>流实际</w:t>
      </w:r>
      <w:proofErr w:type="gramEnd"/>
      <w:r w:rsidRPr="006F3586">
        <w:rPr>
          <w:rFonts w:cs="Arial"/>
          <w:lang w:eastAsia="zh-CN"/>
        </w:rPr>
        <w:t>发生时间确定修正</w:t>
      </w:r>
      <w:proofErr w:type="gramStart"/>
      <w:r w:rsidRPr="006F3586">
        <w:rPr>
          <w:rFonts w:cs="Arial"/>
          <w:lang w:eastAsia="zh-CN"/>
        </w:rPr>
        <w:t>迪茨</w:t>
      </w:r>
      <w:proofErr w:type="gramEnd"/>
      <w:r w:rsidRPr="006F3586">
        <w:rPr>
          <w:rFonts w:cs="Arial"/>
          <w:lang w:eastAsia="zh-CN"/>
        </w:rPr>
        <w:t>法权重，再几何链接各区间收益。波动期间的大额资金</w:t>
      </w:r>
      <w:proofErr w:type="gramStart"/>
      <w:r w:rsidRPr="006F3586">
        <w:rPr>
          <w:rFonts w:cs="Arial"/>
          <w:lang w:eastAsia="zh-CN"/>
        </w:rPr>
        <w:t>流可能</w:t>
      </w:r>
      <w:proofErr w:type="gramEnd"/>
      <w:r w:rsidRPr="006F3586">
        <w:rPr>
          <w:rFonts w:cs="Arial"/>
          <w:lang w:eastAsia="zh-CN"/>
        </w:rPr>
        <w:t>扭曲这一近似值。</w:t>
      </w:r>
      <w:r w:rsidRPr="006F3586">
        <w:rPr>
          <w:rFonts w:cs="Arial"/>
          <w:lang w:eastAsia="zh-CN"/>
        </w:rPr>
        <w:t>[15]</w:t>
      </w:r>
    </w:p>
    <w:p w14:paraId="57D9EA79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drawing>
          <wp:inline distT="0" distB="0" distL="0" distR="0" wp14:anchorId="3C7A7BA4" wp14:editId="41E6056A">
            <wp:extent cx="6035040" cy="3458173"/>
            <wp:effectExtent l="0" t="0" r="0" b="0"/>
            <wp:docPr id="7" name="Picture 7" descr="图 5.1 现金流调整后的近似净值及观测区间回撤。来源：官方账户历史与账本，作者采用修正迪茨法重建。稀疏估值无法衡量日内或逐日最大回撤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5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171F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5.1 </w:t>
      </w:r>
      <w:r w:rsidRPr="006F3586">
        <w:rPr>
          <w:rFonts w:cs="Arial"/>
          <w:b w:val="0"/>
          <w:bCs w:val="0"/>
          <w:lang w:eastAsia="zh-CN"/>
        </w:rPr>
        <w:t>现金</w:t>
      </w:r>
      <w:proofErr w:type="gramStart"/>
      <w:r w:rsidRPr="006F3586">
        <w:rPr>
          <w:rFonts w:cs="Arial"/>
          <w:b w:val="0"/>
          <w:bCs w:val="0"/>
          <w:lang w:eastAsia="zh-CN"/>
        </w:rPr>
        <w:t>流调整</w:t>
      </w:r>
      <w:proofErr w:type="gramEnd"/>
      <w:r w:rsidRPr="006F3586">
        <w:rPr>
          <w:rFonts w:cs="Arial"/>
          <w:b w:val="0"/>
          <w:bCs w:val="0"/>
          <w:lang w:eastAsia="zh-CN"/>
        </w:rPr>
        <w:t>后的近似净值及观测区间回撤。来源：官方账户历史与账本，作者采用修正</w:t>
      </w:r>
      <w:proofErr w:type="gramStart"/>
      <w:r w:rsidRPr="006F3586">
        <w:rPr>
          <w:rFonts w:cs="Arial"/>
          <w:b w:val="0"/>
          <w:bCs w:val="0"/>
          <w:lang w:eastAsia="zh-CN"/>
        </w:rPr>
        <w:t>迪茨</w:t>
      </w:r>
      <w:proofErr w:type="gramEnd"/>
      <w:r w:rsidRPr="006F3586">
        <w:rPr>
          <w:rFonts w:cs="Arial"/>
          <w:b w:val="0"/>
          <w:bCs w:val="0"/>
          <w:lang w:eastAsia="zh-CN"/>
        </w:rPr>
        <w:t>法重建。稀疏估值无法衡量日内或逐日最大回撤。</w:t>
      </w:r>
    </w:p>
    <w:p w14:paraId="0454E113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估计回报为</w:t>
      </w:r>
      <w:r w:rsidRPr="006F3586">
        <w:rPr>
          <w:rFonts w:cs="Arial"/>
          <w:lang w:eastAsia="zh-CN"/>
        </w:rPr>
        <w:t xml:space="preserve"> +18.44%</w:t>
      </w:r>
      <w:r w:rsidRPr="006F3586">
        <w:rPr>
          <w:rFonts w:cs="Arial"/>
          <w:lang w:eastAsia="zh-CN"/>
        </w:rPr>
        <w:t>，观测估值点之间的最大回撤为</w:t>
      </w:r>
      <w:r w:rsidRPr="006F3586">
        <w:rPr>
          <w:rFonts w:cs="Arial"/>
          <w:lang w:eastAsia="zh-CN"/>
        </w:rPr>
        <w:t xml:space="preserve"> −0.82%</w:t>
      </w:r>
      <w:r w:rsidRPr="006F3586">
        <w:rPr>
          <w:rFonts w:cs="Arial"/>
          <w:lang w:eastAsia="zh-CN"/>
        </w:rPr>
        <w:t>。单个区间的利润对账残差绝对值最大为</w:t>
      </w:r>
      <w:r w:rsidRPr="006F3586">
        <w:rPr>
          <w:rFonts w:cs="Arial"/>
          <w:lang w:eastAsia="zh-CN"/>
        </w:rPr>
        <w:t xml:space="preserve"> 13.71 USDC</w:t>
      </w:r>
      <w:r w:rsidRPr="006F3586">
        <w:rPr>
          <w:rFonts w:cs="Arial"/>
          <w:lang w:eastAsia="zh-CN"/>
        </w:rPr>
        <w:t>；累计</w:t>
      </w:r>
      <w:r w:rsidRPr="006F3586">
        <w:rPr>
          <w:rFonts w:cs="Arial"/>
          <w:lang w:eastAsia="zh-CN"/>
        </w:rPr>
        <w:t xml:space="preserve"> 139.95 USDC </w:t>
      </w:r>
      <w:r w:rsidRPr="006F3586">
        <w:rPr>
          <w:rFonts w:cs="Arial"/>
          <w:lang w:eastAsia="zh-CN"/>
        </w:rPr>
        <w:t>差异保留为未解释项，不分配给任何策略。</w:t>
      </w:r>
    </w:p>
    <w:p w14:paraId="474B3D17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lastRenderedPageBreak/>
        <w:drawing>
          <wp:inline distT="0" distB="0" distL="0" distR="0" wp14:anchorId="306A8E3F" wp14:editId="02DFDF75">
            <wp:extent cx="6035040" cy="3663961"/>
            <wp:effectExtent l="0" t="0" r="0" b="0"/>
            <wp:docPr id="8" name="Picture 8" descr="图 5.2 可见资产规模与外部资金流。端点区间与自然月区间不同；月度柱形包括首次估值之前的 9 月 1–3 日现金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751F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5.2 </w:t>
      </w:r>
      <w:r w:rsidRPr="006F3586">
        <w:rPr>
          <w:rFonts w:cs="Arial"/>
          <w:b w:val="0"/>
          <w:bCs w:val="0"/>
          <w:lang w:eastAsia="zh-CN"/>
        </w:rPr>
        <w:t>可见资产规模与外部资金流。端点区间与自然月区间不同；月度柱形包括首次估值之前的</w:t>
      </w:r>
      <w:r w:rsidRPr="006F3586">
        <w:rPr>
          <w:rFonts w:cs="Arial"/>
          <w:b w:val="0"/>
          <w:bCs w:val="0"/>
          <w:lang w:eastAsia="zh-CN"/>
        </w:rPr>
        <w:t xml:space="preserve"> 9 </w:t>
      </w:r>
      <w:r w:rsidRPr="006F3586">
        <w:rPr>
          <w:rFonts w:cs="Arial"/>
          <w:b w:val="0"/>
          <w:bCs w:val="0"/>
          <w:lang w:eastAsia="zh-CN"/>
        </w:rPr>
        <w:t>月</w:t>
      </w:r>
      <w:r w:rsidRPr="006F3586">
        <w:rPr>
          <w:rFonts w:cs="Arial"/>
          <w:b w:val="0"/>
          <w:bCs w:val="0"/>
          <w:lang w:eastAsia="zh-CN"/>
        </w:rPr>
        <w:t xml:space="preserve"> 1–3 </w:t>
      </w:r>
      <w:r w:rsidRPr="006F3586">
        <w:rPr>
          <w:rFonts w:cs="Arial"/>
          <w:b w:val="0"/>
          <w:bCs w:val="0"/>
          <w:lang w:eastAsia="zh-CN"/>
        </w:rPr>
        <w:t>日现金流。</w:t>
      </w:r>
    </w:p>
    <w:p w14:paraId="6460F0F7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可见资产由</w:t>
      </w:r>
      <w:r w:rsidRPr="006F3586">
        <w:rPr>
          <w:rFonts w:cs="Arial"/>
          <w:lang w:eastAsia="zh-CN"/>
        </w:rPr>
        <w:t xml:space="preserve"> 603.9 </w:t>
      </w:r>
      <w:r w:rsidRPr="006F3586">
        <w:rPr>
          <w:rFonts w:cs="Arial"/>
          <w:lang w:eastAsia="zh-CN"/>
        </w:rPr>
        <w:t>百万降至</w:t>
      </w:r>
      <w:r w:rsidRPr="006F3586">
        <w:rPr>
          <w:rFonts w:cs="Arial"/>
          <w:lang w:eastAsia="zh-CN"/>
        </w:rPr>
        <w:t xml:space="preserve"> 187.7 </w:t>
      </w:r>
      <w:r w:rsidRPr="006F3586">
        <w:rPr>
          <w:rFonts w:cs="Arial"/>
          <w:lang w:eastAsia="zh-CN"/>
        </w:rPr>
        <w:t>百万</w:t>
      </w:r>
      <w:r w:rsidRPr="006F3586">
        <w:rPr>
          <w:rFonts w:cs="Arial"/>
          <w:lang w:eastAsia="zh-CN"/>
        </w:rPr>
        <w:t xml:space="preserve"> USDC</w:t>
      </w:r>
      <w:r w:rsidRPr="006F3586">
        <w:rPr>
          <w:rFonts w:cs="Arial"/>
          <w:lang w:eastAsia="zh-CN"/>
        </w:rPr>
        <w:t>。在估值端点之间，约</w:t>
      </w:r>
      <w:r w:rsidRPr="006F3586">
        <w:rPr>
          <w:rFonts w:cs="Arial"/>
          <w:lang w:eastAsia="zh-CN"/>
        </w:rPr>
        <w:t xml:space="preserve"> 477.8 </w:t>
      </w:r>
      <w:proofErr w:type="gramStart"/>
      <w:r w:rsidRPr="006F3586">
        <w:rPr>
          <w:rFonts w:cs="Arial"/>
          <w:lang w:eastAsia="zh-CN"/>
        </w:rPr>
        <w:t>百万净</w:t>
      </w:r>
      <w:proofErr w:type="gramEnd"/>
      <w:r w:rsidRPr="006F3586">
        <w:rPr>
          <w:rFonts w:cs="Arial"/>
          <w:lang w:eastAsia="zh-CN"/>
        </w:rPr>
        <w:t>流出抵消了</w:t>
      </w:r>
      <w:r w:rsidRPr="006F3586">
        <w:rPr>
          <w:rFonts w:cs="Arial"/>
          <w:lang w:eastAsia="zh-CN"/>
        </w:rPr>
        <w:t xml:space="preserve"> 61.6 </w:t>
      </w:r>
      <w:r w:rsidRPr="006F3586">
        <w:rPr>
          <w:rFonts w:cs="Arial"/>
          <w:lang w:eastAsia="zh-CN"/>
        </w:rPr>
        <w:t>百万利润。按自然月统计，投资者净提款合计</w:t>
      </w:r>
      <w:r w:rsidRPr="006F3586">
        <w:rPr>
          <w:rFonts w:cs="Arial"/>
          <w:lang w:eastAsia="zh-CN"/>
        </w:rPr>
        <w:t xml:space="preserve"> 483.5 </w:t>
      </w:r>
      <w:r w:rsidRPr="006F3586">
        <w:rPr>
          <w:rFonts w:cs="Arial"/>
          <w:lang w:eastAsia="zh-CN"/>
        </w:rPr>
        <w:t>百万。资产收缩主要由赎回解释，但赎回动机未经核实。</w:t>
      </w:r>
    </w:p>
    <w:p w14:paraId="7609113D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最强的两个区间为</w:t>
      </w:r>
      <w:r w:rsidRPr="006F3586">
        <w:rPr>
          <w:rFonts w:cs="Arial"/>
          <w:lang w:eastAsia="zh-CN"/>
        </w:rPr>
        <w:t xml:space="preserve"> 2025 </w:t>
      </w:r>
      <w:r w:rsidRPr="006F3586">
        <w:rPr>
          <w:rFonts w:cs="Arial"/>
          <w:lang w:eastAsia="zh-CN"/>
        </w:rPr>
        <w:t>年</w:t>
      </w:r>
      <w:r w:rsidRPr="006F3586">
        <w:rPr>
          <w:rFonts w:cs="Arial"/>
          <w:lang w:eastAsia="zh-CN"/>
        </w:rPr>
        <w:t xml:space="preserve"> 10 </w:t>
      </w:r>
      <w:r w:rsidRPr="006F3586">
        <w:rPr>
          <w:rFonts w:cs="Arial"/>
          <w:lang w:eastAsia="zh-CN"/>
        </w:rPr>
        <w:t>月</w:t>
      </w:r>
      <w:r w:rsidRPr="006F3586">
        <w:rPr>
          <w:rFonts w:cs="Arial"/>
          <w:lang w:eastAsia="zh-CN"/>
        </w:rPr>
        <w:t xml:space="preserve"> 1–15 </w:t>
      </w:r>
      <w:r w:rsidRPr="006F3586">
        <w:rPr>
          <w:rFonts w:cs="Arial"/>
          <w:lang w:eastAsia="zh-CN"/>
        </w:rPr>
        <w:t>日与</w:t>
      </w:r>
      <w:r w:rsidRPr="006F3586">
        <w:rPr>
          <w:rFonts w:cs="Arial"/>
          <w:lang w:eastAsia="zh-CN"/>
        </w:rPr>
        <w:t xml:space="preserve"> 2026 </w:t>
      </w:r>
      <w:r w:rsidRPr="006F3586">
        <w:rPr>
          <w:rFonts w:cs="Arial"/>
          <w:lang w:eastAsia="zh-CN"/>
        </w:rPr>
        <w:t>年</w:t>
      </w:r>
      <w:r w:rsidRPr="006F3586">
        <w:rPr>
          <w:rFonts w:cs="Arial"/>
          <w:lang w:eastAsia="zh-CN"/>
        </w:rPr>
        <w:t xml:space="preserve"> 1 </w:t>
      </w:r>
      <w:r w:rsidRPr="006F3586">
        <w:rPr>
          <w:rFonts w:cs="Arial"/>
          <w:lang w:eastAsia="zh-CN"/>
        </w:rPr>
        <w:t>月</w:t>
      </w:r>
      <w:r w:rsidRPr="006F3586">
        <w:rPr>
          <w:rFonts w:cs="Arial"/>
          <w:lang w:eastAsia="zh-CN"/>
        </w:rPr>
        <w:t xml:space="preserve"> 21 </w:t>
      </w:r>
      <w:r w:rsidRPr="006F3586">
        <w:rPr>
          <w:rFonts w:cs="Arial"/>
          <w:lang w:eastAsia="zh-CN"/>
        </w:rPr>
        <w:t>日至</w:t>
      </w:r>
      <w:r w:rsidRPr="006F3586">
        <w:rPr>
          <w:rFonts w:cs="Arial"/>
          <w:lang w:eastAsia="zh-CN"/>
        </w:rPr>
        <w:t xml:space="preserve"> 2 </w:t>
      </w:r>
      <w:r w:rsidRPr="006F3586">
        <w:rPr>
          <w:rFonts w:cs="Arial"/>
          <w:lang w:eastAsia="zh-CN"/>
        </w:rPr>
        <w:t>月</w:t>
      </w:r>
      <w:r w:rsidRPr="006F3586">
        <w:rPr>
          <w:rFonts w:cs="Arial"/>
          <w:lang w:eastAsia="zh-CN"/>
        </w:rPr>
        <w:t xml:space="preserve"> 4 </w:t>
      </w:r>
      <w:r w:rsidRPr="006F3586">
        <w:rPr>
          <w:rFonts w:cs="Arial"/>
          <w:lang w:eastAsia="zh-CN"/>
        </w:rPr>
        <w:t>日，合计贡献累计对数收益的</w:t>
      </w:r>
      <w:r w:rsidRPr="006F3586">
        <w:rPr>
          <w:rFonts w:cs="Arial"/>
          <w:lang w:eastAsia="zh-CN"/>
        </w:rPr>
        <w:t xml:space="preserve"> 94.9%</w:t>
      </w:r>
      <w:r w:rsidRPr="006F3586">
        <w:rPr>
          <w:rFonts w:cs="Arial"/>
          <w:lang w:eastAsia="zh-CN"/>
        </w:rPr>
        <w:t>。这不能识别具体</w:t>
      </w:r>
      <w:proofErr w:type="gramStart"/>
      <w:r w:rsidRPr="006F3586">
        <w:rPr>
          <w:rFonts w:cs="Arial"/>
          <w:lang w:eastAsia="zh-CN"/>
        </w:rPr>
        <w:t>盈利日</w:t>
      </w:r>
      <w:proofErr w:type="gramEnd"/>
      <w:r w:rsidRPr="006F3586">
        <w:rPr>
          <w:rFonts w:cs="Arial"/>
          <w:lang w:eastAsia="zh-CN"/>
        </w:rPr>
        <w:t>或收益机制。尚无法归因的资金费、交易、库存、费用分配及利息仍属待核实事项。</w:t>
      </w:r>
    </w:p>
    <w:p w14:paraId="54E7455F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lastRenderedPageBreak/>
        <w:drawing>
          <wp:inline distT="0" distB="0" distL="0" distR="0" wp14:anchorId="618C3370" wp14:editId="5A9E48C6">
            <wp:extent cx="6035040" cy="3416511"/>
            <wp:effectExtent l="0" t="0" r="0" b="0"/>
            <wp:docPr id="9" name="Picture 9" descr="图 5.3 分别对 BTC 与 ETH 估计的滚动 beta，窗口包含八个约双周收益区间，附近似 HC3 不确定性区间。这是收益回归，不是持仓重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4339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5.3 </w:t>
      </w:r>
      <w:r w:rsidRPr="006F3586">
        <w:rPr>
          <w:rFonts w:cs="Arial"/>
          <w:b w:val="0"/>
          <w:bCs w:val="0"/>
          <w:lang w:eastAsia="zh-CN"/>
        </w:rPr>
        <w:t>分别对</w:t>
      </w:r>
      <w:r w:rsidRPr="006F3586">
        <w:rPr>
          <w:rFonts w:cs="Arial"/>
          <w:b w:val="0"/>
          <w:bCs w:val="0"/>
          <w:lang w:eastAsia="zh-CN"/>
        </w:rPr>
        <w:t xml:space="preserve"> BTC </w:t>
      </w:r>
      <w:r w:rsidRPr="006F3586">
        <w:rPr>
          <w:rFonts w:cs="Arial"/>
          <w:b w:val="0"/>
          <w:bCs w:val="0"/>
          <w:lang w:eastAsia="zh-CN"/>
        </w:rPr>
        <w:t>与</w:t>
      </w:r>
      <w:r w:rsidRPr="006F3586">
        <w:rPr>
          <w:rFonts w:cs="Arial"/>
          <w:b w:val="0"/>
          <w:bCs w:val="0"/>
          <w:lang w:eastAsia="zh-CN"/>
        </w:rPr>
        <w:t xml:space="preserve"> ETH </w:t>
      </w:r>
      <w:r w:rsidRPr="006F3586">
        <w:rPr>
          <w:rFonts w:cs="Arial"/>
          <w:b w:val="0"/>
          <w:bCs w:val="0"/>
          <w:lang w:eastAsia="zh-CN"/>
        </w:rPr>
        <w:t>估计的滚动</w:t>
      </w:r>
      <w:r w:rsidRPr="006F3586">
        <w:rPr>
          <w:rFonts w:cs="Arial"/>
          <w:b w:val="0"/>
          <w:bCs w:val="0"/>
          <w:lang w:eastAsia="zh-CN"/>
        </w:rPr>
        <w:t xml:space="preserve"> beta</w:t>
      </w:r>
      <w:r w:rsidRPr="006F3586">
        <w:rPr>
          <w:rFonts w:cs="Arial"/>
          <w:b w:val="0"/>
          <w:bCs w:val="0"/>
          <w:lang w:eastAsia="zh-CN"/>
        </w:rPr>
        <w:t>，窗口包含八个约双周收益区间，附近似</w:t>
      </w:r>
      <w:r w:rsidRPr="006F3586">
        <w:rPr>
          <w:rFonts w:cs="Arial"/>
          <w:b w:val="0"/>
          <w:bCs w:val="0"/>
          <w:lang w:eastAsia="zh-CN"/>
        </w:rPr>
        <w:t xml:space="preserve"> HC3 </w:t>
      </w:r>
      <w:r w:rsidRPr="006F3586">
        <w:rPr>
          <w:rFonts w:cs="Arial"/>
          <w:b w:val="0"/>
          <w:bCs w:val="0"/>
          <w:lang w:eastAsia="zh-CN"/>
        </w:rPr>
        <w:t>不确定性区间。这是收益回归，不是持仓重建。</w:t>
      </w:r>
    </w:p>
    <w:p w14:paraId="5FE8C942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市场收益使用各估值时点之前最近一根已完成四小时永续</w:t>
      </w:r>
      <w:r w:rsidRPr="006F3586">
        <w:rPr>
          <w:rFonts w:cs="Arial"/>
          <w:lang w:eastAsia="zh-CN"/>
        </w:rPr>
        <w:t xml:space="preserve"> K </w:t>
      </w:r>
      <w:r w:rsidRPr="006F3586">
        <w:rPr>
          <w:rFonts w:cs="Arial"/>
          <w:lang w:eastAsia="zh-CN"/>
        </w:rPr>
        <w:t>线。最新</w:t>
      </w:r>
      <w:r w:rsidRPr="006F3586">
        <w:rPr>
          <w:rFonts w:cs="Arial"/>
          <w:lang w:eastAsia="zh-CN"/>
        </w:rPr>
        <w:t xml:space="preserve"> BTC/ETH beta </w:t>
      </w:r>
      <w:r w:rsidRPr="006F3586">
        <w:rPr>
          <w:rFonts w:cs="Arial"/>
          <w:lang w:eastAsia="zh-CN"/>
        </w:rPr>
        <w:t>约为</w:t>
      </w:r>
      <w:r w:rsidRPr="006F3586">
        <w:rPr>
          <w:rFonts w:cs="Arial"/>
          <w:lang w:eastAsia="zh-CN"/>
        </w:rPr>
        <w:t xml:space="preserve"> 0.011/0.008</w:t>
      </w:r>
      <w:r w:rsidRPr="006F3586">
        <w:rPr>
          <w:rFonts w:cs="Arial"/>
          <w:lang w:eastAsia="zh-CN"/>
        </w:rPr>
        <w:t>，两者区间均包含零；系数不能相加当作敞口权重。低</w:t>
      </w:r>
      <w:r w:rsidRPr="006F3586">
        <w:rPr>
          <w:rFonts w:cs="Arial"/>
          <w:lang w:eastAsia="zh-CN"/>
        </w:rPr>
        <w:t xml:space="preserve"> beta </w:t>
      </w:r>
      <w:r w:rsidRPr="006F3586">
        <w:rPr>
          <w:rFonts w:cs="Arial"/>
          <w:lang w:eastAsia="zh-CN"/>
        </w:rPr>
        <w:t>无法排除非线性清算损失。历史总／净敞口、杠杆、集中度与换手仍需持仓记录。普通金库需完成同等对账。金库可见资产不等于管理人的完整</w:t>
      </w:r>
      <w:r w:rsidRPr="006F3586">
        <w:rPr>
          <w:rFonts w:cs="Arial"/>
          <w:lang w:eastAsia="zh-CN"/>
        </w:rPr>
        <w:t xml:space="preserve"> AUM</w:t>
      </w:r>
      <w:r w:rsidRPr="006F3586">
        <w:rPr>
          <w:rFonts w:cs="Arial"/>
          <w:lang w:eastAsia="zh-CN"/>
        </w:rPr>
        <w:t>；未经确认的链外对冲不在核验范围内。</w:t>
      </w:r>
    </w:p>
    <w:p w14:paraId="007DC3DE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6 </w:t>
      </w:r>
      <w:r w:rsidRPr="006F3586">
        <w:rPr>
          <w:rFonts w:cs="Arial"/>
          <w:b w:val="0"/>
          <w:bCs w:val="0"/>
          <w:lang w:eastAsia="zh-CN"/>
        </w:rPr>
        <w:t>执行成本与策略容量</w:t>
      </w:r>
    </w:p>
    <w:p w14:paraId="73CFDBC9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容量必须同时满足回报、退出时间与抵押约束。配置规模从</w:t>
      </w:r>
      <w:r w:rsidRPr="006F3586">
        <w:rPr>
          <w:rFonts w:cs="Arial"/>
          <w:lang w:eastAsia="zh-CN"/>
        </w:rPr>
        <w:t xml:space="preserve"> 25,000 </w:t>
      </w:r>
      <w:r w:rsidRPr="006F3586">
        <w:rPr>
          <w:rFonts w:cs="Arial"/>
          <w:lang w:eastAsia="zh-CN"/>
        </w:rPr>
        <w:t>至</w:t>
      </w:r>
      <w:r w:rsidRPr="006F3586">
        <w:rPr>
          <w:rFonts w:cs="Arial"/>
          <w:lang w:eastAsia="zh-CN"/>
        </w:rPr>
        <w:t xml:space="preserve"> 1,000 </w:t>
      </w:r>
      <w:r w:rsidRPr="006F3586">
        <w:rPr>
          <w:rFonts w:cs="Arial"/>
          <w:lang w:eastAsia="zh-CN"/>
        </w:rPr>
        <w:t>万</w:t>
      </w:r>
      <w:r w:rsidRPr="006F3586">
        <w:rPr>
          <w:rFonts w:cs="Arial"/>
          <w:lang w:eastAsia="zh-CN"/>
        </w:rPr>
        <w:t xml:space="preserve"> USDC</w:t>
      </w:r>
      <w:r w:rsidRPr="006F3586">
        <w:rPr>
          <w:rFonts w:cs="Arial"/>
          <w:lang w:eastAsia="zh-CN"/>
        </w:rPr>
        <w:t>，</w:t>
      </w:r>
      <w:proofErr w:type="gramStart"/>
      <w:r w:rsidRPr="006F3586">
        <w:rPr>
          <w:rFonts w:cs="Arial"/>
          <w:lang w:eastAsia="zh-CN"/>
        </w:rPr>
        <w:t>沿用第</w:t>
      </w:r>
      <w:proofErr w:type="gramEnd"/>
      <w:r w:rsidRPr="006F3586">
        <w:rPr>
          <w:rFonts w:cs="Arial"/>
          <w:lang w:eastAsia="zh-CN"/>
        </w:rPr>
        <w:t xml:space="preserve"> 4 </w:t>
      </w:r>
      <w:r w:rsidRPr="006F3586">
        <w:rPr>
          <w:rFonts w:cs="Arial"/>
          <w:lang w:eastAsia="zh-CN"/>
        </w:rPr>
        <w:t>章的资本结构。</w:t>
      </w:r>
      <w:proofErr w:type="gramStart"/>
      <w:r w:rsidRPr="006F3586">
        <w:rPr>
          <w:rFonts w:cs="Arial"/>
          <w:lang w:eastAsia="zh-CN"/>
        </w:rPr>
        <w:t>每腿的</w:t>
      </w:r>
      <w:proofErr w:type="gramEnd"/>
      <w:r w:rsidRPr="006F3586">
        <w:rPr>
          <w:rFonts w:cs="Arial"/>
          <w:lang w:eastAsia="zh-CN"/>
        </w:rPr>
        <w:t>额外冲击成本比例等于系数</w:t>
      </w:r>
      <w:proofErr w:type="gramStart"/>
      <w:r w:rsidRPr="006F3586">
        <w:rPr>
          <w:rFonts w:cs="Arial"/>
          <w:lang w:eastAsia="zh-CN"/>
        </w:rPr>
        <w:t>乘以前</w:t>
      </w:r>
      <w:proofErr w:type="gramEnd"/>
      <w:r w:rsidRPr="006F3586">
        <w:rPr>
          <w:rFonts w:cs="Arial"/>
          <w:lang w:eastAsia="zh-CN"/>
        </w:rPr>
        <w:t>一日</w:t>
      </w:r>
      <w:r w:rsidRPr="006F3586">
        <w:rPr>
          <w:rFonts w:cs="Arial"/>
          <w:lang w:eastAsia="zh-CN"/>
        </w:rPr>
        <w:t xml:space="preserve"> log(high/low)</w:t>
      </w:r>
      <w:r w:rsidRPr="006F3586">
        <w:rPr>
          <w:rFonts w:cs="Arial"/>
          <w:lang w:eastAsia="zh-CN"/>
        </w:rPr>
        <w:t>，再乘以交易数量与该日标的数量成交量之比的平方根。中心系数为</w:t>
      </w:r>
      <w:r w:rsidRPr="006F3586">
        <w:rPr>
          <w:rFonts w:cs="Arial"/>
          <w:lang w:eastAsia="zh-CN"/>
        </w:rPr>
        <w:t xml:space="preserve"> 0.5</w:t>
      </w:r>
      <w:r w:rsidRPr="006F3586">
        <w:rPr>
          <w:rFonts w:cs="Arial"/>
          <w:lang w:eastAsia="zh-CN"/>
        </w:rPr>
        <w:t>，敏感性系数为</w:t>
      </w:r>
      <w:r w:rsidRPr="006F3586">
        <w:rPr>
          <w:rFonts w:cs="Arial"/>
          <w:lang w:eastAsia="zh-CN"/>
        </w:rPr>
        <w:t xml:space="preserve"> 0.25/1.0</w:t>
      </w:r>
      <w:r w:rsidRPr="006F3586">
        <w:rPr>
          <w:rFonts w:cs="Arial"/>
          <w:lang w:eastAsia="zh-CN"/>
        </w:rPr>
        <w:t>。该未经成交校准的模型叠加于交易费及</w:t>
      </w:r>
      <w:r w:rsidRPr="006F3586">
        <w:rPr>
          <w:rFonts w:cs="Arial"/>
          <w:lang w:eastAsia="zh-CN"/>
        </w:rPr>
        <w:t xml:space="preserve"> 2 bps </w:t>
      </w:r>
      <w:r w:rsidRPr="006F3586">
        <w:rPr>
          <w:rFonts w:cs="Arial"/>
          <w:lang w:eastAsia="zh-CN"/>
        </w:rPr>
        <w:t>执行成本下限，其包络不是置信区间。</w:t>
      </w:r>
    </w:p>
    <w:p w14:paraId="082F9A72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drawing>
          <wp:inline distT="0" distB="0" distL="0" distR="0" wp14:anchorId="055AB2CB" wp14:editId="0389C794">
            <wp:extent cx="6035040" cy="4258082"/>
            <wp:effectExtent l="0" t="0" r="0" b="0"/>
            <wp:docPr id="10" name="Picture 10" descr="图 6.1 配置规模与净收益及参与度。每个规模／系数组合均重新运行策略，规则版本的入场预算包含预计冲击。来源：官方 K 线与资金费数据及作者情景模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5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C023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6.1 </w:t>
      </w:r>
      <w:r w:rsidRPr="006F3586">
        <w:rPr>
          <w:rFonts w:cs="Arial"/>
          <w:b w:val="0"/>
          <w:bCs w:val="0"/>
          <w:lang w:eastAsia="zh-CN"/>
        </w:rPr>
        <w:t>配置规模与净收益及参与度。每个规模／系数组合</w:t>
      </w:r>
      <w:proofErr w:type="gramStart"/>
      <w:r w:rsidRPr="006F3586">
        <w:rPr>
          <w:rFonts w:cs="Arial"/>
          <w:b w:val="0"/>
          <w:bCs w:val="0"/>
          <w:lang w:eastAsia="zh-CN"/>
        </w:rPr>
        <w:t>均重新</w:t>
      </w:r>
      <w:proofErr w:type="gramEnd"/>
      <w:r w:rsidRPr="006F3586">
        <w:rPr>
          <w:rFonts w:cs="Arial"/>
          <w:b w:val="0"/>
          <w:bCs w:val="0"/>
          <w:lang w:eastAsia="zh-CN"/>
        </w:rPr>
        <w:t>运行策略，规则版本的入场预算包含预计冲击。来源：官方</w:t>
      </w:r>
      <w:r w:rsidRPr="006F3586">
        <w:rPr>
          <w:rFonts w:cs="Arial"/>
          <w:b w:val="0"/>
          <w:bCs w:val="0"/>
          <w:lang w:eastAsia="zh-CN"/>
        </w:rPr>
        <w:t xml:space="preserve"> K </w:t>
      </w:r>
      <w:r w:rsidRPr="006F3586">
        <w:rPr>
          <w:rFonts w:cs="Arial"/>
          <w:b w:val="0"/>
          <w:bCs w:val="0"/>
          <w:lang w:eastAsia="zh-CN"/>
        </w:rPr>
        <w:t>线与资金</w:t>
      </w:r>
      <w:proofErr w:type="gramStart"/>
      <w:r w:rsidRPr="006F3586">
        <w:rPr>
          <w:rFonts w:cs="Arial"/>
          <w:b w:val="0"/>
          <w:bCs w:val="0"/>
          <w:lang w:eastAsia="zh-CN"/>
        </w:rPr>
        <w:t>费数据</w:t>
      </w:r>
      <w:proofErr w:type="gramEnd"/>
      <w:r w:rsidRPr="006F3586">
        <w:rPr>
          <w:rFonts w:cs="Arial"/>
          <w:b w:val="0"/>
          <w:bCs w:val="0"/>
          <w:lang w:eastAsia="zh-CN"/>
        </w:rPr>
        <w:t>及作者情景模型。</w:t>
      </w:r>
    </w:p>
    <w:p w14:paraId="598BC572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lang w:eastAsia="zh-CN"/>
        </w:rPr>
        <w:t>被动策略中心回报从</w:t>
      </w:r>
      <w:r w:rsidRPr="006F3586">
        <w:rPr>
          <w:rFonts w:cs="Arial"/>
          <w:lang w:eastAsia="zh-CN"/>
        </w:rPr>
        <w:t xml:space="preserve"> 25,000 USDC </w:t>
      </w:r>
      <w:r w:rsidRPr="006F3586">
        <w:rPr>
          <w:rFonts w:cs="Arial"/>
          <w:lang w:eastAsia="zh-CN"/>
        </w:rPr>
        <w:t>下的</w:t>
      </w:r>
      <w:r w:rsidRPr="006F3586">
        <w:rPr>
          <w:rFonts w:cs="Arial"/>
          <w:lang w:eastAsia="zh-CN"/>
        </w:rPr>
        <w:t xml:space="preserve"> 1.88%</w:t>
      </w:r>
      <w:r w:rsidRPr="006F3586">
        <w:rPr>
          <w:rFonts w:cs="Arial"/>
          <w:lang w:eastAsia="zh-CN"/>
        </w:rPr>
        <w:t>，降至</w:t>
      </w:r>
      <w:r w:rsidRPr="006F3586">
        <w:rPr>
          <w:rFonts w:cs="Arial"/>
          <w:lang w:eastAsia="zh-CN"/>
        </w:rPr>
        <w:t xml:space="preserve"> 100,000 </w:t>
      </w:r>
      <w:r w:rsidRPr="006F3586">
        <w:rPr>
          <w:rFonts w:cs="Arial"/>
          <w:lang w:eastAsia="zh-CN"/>
        </w:rPr>
        <w:t>下的</w:t>
      </w:r>
      <w:r w:rsidRPr="006F3586">
        <w:rPr>
          <w:rFonts w:cs="Arial"/>
          <w:lang w:eastAsia="zh-CN"/>
        </w:rPr>
        <w:t xml:space="preserve"> 1.83% </w:t>
      </w:r>
      <w:r w:rsidRPr="006F3586">
        <w:rPr>
          <w:rFonts w:cs="Arial"/>
          <w:lang w:eastAsia="zh-CN"/>
        </w:rPr>
        <w:t>与</w:t>
      </w:r>
      <w:r w:rsidRPr="006F3586">
        <w:rPr>
          <w:rFonts w:cs="Arial"/>
          <w:lang w:eastAsia="zh-CN"/>
        </w:rPr>
        <w:t xml:space="preserve"> 1,000 </w:t>
      </w:r>
      <w:r w:rsidRPr="006F3586">
        <w:rPr>
          <w:rFonts w:cs="Arial"/>
          <w:lang w:eastAsia="zh-CN"/>
        </w:rPr>
        <w:t>万下的</w:t>
      </w:r>
      <w:r w:rsidRPr="006F3586">
        <w:rPr>
          <w:rFonts w:cs="Arial"/>
          <w:lang w:eastAsia="zh-CN"/>
        </w:rPr>
        <w:t xml:space="preserve"> 0.98%</w:t>
      </w:r>
      <w:r w:rsidRPr="006F3586">
        <w:rPr>
          <w:rFonts w:cs="Arial"/>
          <w:lang w:eastAsia="zh-CN"/>
        </w:rPr>
        <w:t>。规则版本分别为</w:t>
      </w:r>
      <w:r w:rsidRPr="006F3586">
        <w:rPr>
          <w:rFonts w:cs="Arial"/>
          <w:lang w:eastAsia="zh-CN"/>
        </w:rPr>
        <w:t xml:space="preserve"> −0.49%</w:t>
      </w:r>
      <w:r w:rsidRPr="006F3586">
        <w:rPr>
          <w:rFonts w:cs="Arial"/>
          <w:lang w:eastAsia="zh-CN"/>
        </w:rPr>
        <w:t>、</w:t>
      </w:r>
      <w:r w:rsidRPr="006F3586">
        <w:rPr>
          <w:rFonts w:cs="Arial"/>
          <w:lang w:eastAsia="zh-CN"/>
        </w:rPr>
        <w:t xml:space="preserve">−1.56% </w:t>
      </w:r>
      <w:r w:rsidRPr="006F3586">
        <w:rPr>
          <w:rFonts w:cs="Arial"/>
          <w:lang w:eastAsia="zh-CN"/>
        </w:rPr>
        <w:t>和</w:t>
      </w:r>
      <w:r w:rsidRPr="006F3586">
        <w:rPr>
          <w:rFonts w:cs="Arial"/>
          <w:lang w:eastAsia="zh-CN"/>
        </w:rPr>
        <w:t xml:space="preserve"> 0.00%</w:t>
      </w:r>
      <w:r w:rsidRPr="006F3586">
        <w:rPr>
          <w:rFonts w:cs="Arial"/>
          <w:lang w:eastAsia="zh-CN"/>
        </w:rPr>
        <w:t>；在</w:t>
      </w:r>
      <w:r w:rsidRPr="006F3586">
        <w:rPr>
          <w:rFonts w:cs="Arial"/>
          <w:lang w:eastAsia="zh-CN"/>
        </w:rPr>
        <w:t xml:space="preserve"> 500 </w:t>
      </w:r>
      <w:r w:rsidRPr="006F3586">
        <w:rPr>
          <w:rFonts w:cs="Arial"/>
          <w:lang w:eastAsia="zh-CN"/>
        </w:rPr>
        <w:t>万和</w:t>
      </w:r>
      <w:r w:rsidRPr="006F3586">
        <w:rPr>
          <w:rFonts w:cs="Arial"/>
          <w:lang w:eastAsia="zh-CN"/>
        </w:rPr>
        <w:t xml:space="preserve"> 1,000 </w:t>
      </w:r>
      <w:r w:rsidRPr="006F3586">
        <w:rPr>
          <w:rFonts w:cs="Arial"/>
          <w:lang w:eastAsia="zh-CN"/>
        </w:rPr>
        <w:t>万下没有建仓。零回报表示现金闲置，并非交易表现改善。参与度变化也解释了</w:t>
      </w:r>
      <w:r w:rsidRPr="006F3586">
        <w:rPr>
          <w:rFonts w:cs="Arial"/>
          <w:lang w:eastAsia="zh-CN"/>
        </w:rPr>
        <w:t xml:space="preserve"> 100,000 USDC </w:t>
      </w:r>
      <w:r w:rsidRPr="006F3586">
        <w:rPr>
          <w:rFonts w:cs="Arial"/>
          <w:lang w:eastAsia="zh-CN"/>
        </w:rPr>
        <w:t>规则结果与第</w:t>
      </w:r>
      <w:r w:rsidRPr="006F3586">
        <w:rPr>
          <w:rFonts w:cs="Arial"/>
          <w:lang w:eastAsia="zh-CN"/>
        </w:rPr>
        <w:t xml:space="preserve"> 4 </w:t>
      </w:r>
      <w:r w:rsidRPr="006F3586">
        <w:rPr>
          <w:rFonts w:cs="Arial"/>
          <w:lang w:eastAsia="zh-CN"/>
        </w:rPr>
        <w:t>章的差异。完全成交和无摩擦抵押调拨仍是理想化假设。</w:t>
      </w:r>
    </w:p>
    <w:p w14:paraId="6222923C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lastRenderedPageBreak/>
        <w:drawing>
          <wp:inline distT="0" distB="0" distL="0" distR="0" wp14:anchorId="57BA2439" wp14:editId="1B0C8609">
            <wp:extent cx="6035040" cy="3894487"/>
            <wp:effectExtent l="0" t="0" r="0" b="0"/>
            <wp:docPr id="11" name="Picture 11" descr="图 6.2 相对于全部资本的全量退出成本预算。以前一日信息建模，再按随后实际出现的环境分组：正常 73 日、压力 37 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F03F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6.2 </w:t>
      </w:r>
      <w:r w:rsidRPr="006F3586">
        <w:rPr>
          <w:rFonts w:cs="Arial"/>
          <w:b w:val="0"/>
          <w:bCs w:val="0"/>
          <w:lang w:eastAsia="zh-CN"/>
        </w:rPr>
        <w:t>相对于全部资本的全量退出成本预算。以前一日信息建模，再按随后实际出现的环境分组：正常</w:t>
      </w:r>
      <w:r w:rsidRPr="006F3586">
        <w:rPr>
          <w:rFonts w:cs="Arial"/>
          <w:b w:val="0"/>
          <w:bCs w:val="0"/>
          <w:lang w:eastAsia="zh-CN"/>
        </w:rPr>
        <w:t xml:space="preserve"> 73 </w:t>
      </w:r>
      <w:r w:rsidRPr="006F3586">
        <w:rPr>
          <w:rFonts w:cs="Arial"/>
          <w:b w:val="0"/>
          <w:bCs w:val="0"/>
          <w:lang w:eastAsia="zh-CN"/>
        </w:rPr>
        <w:t>日、压力</w:t>
      </w:r>
      <w:r w:rsidRPr="006F3586">
        <w:rPr>
          <w:rFonts w:cs="Arial"/>
          <w:b w:val="0"/>
          <w:bCs w:val="0"/>
          <w:lang w:eastAsia="zh-CN"/>
        </w:rPr>
        <w:t xml:space="preserve"> 37 </w:t>
      </w:r>
      <w:r w:rsidRPr="006F3586">
        <w:rPr>
          <w:rFonts w:cs="Arial"/>
          <w:b w:val="0"/>
          <w:bCs w:val="0"/>
          <w:lang w:eastAsia="zh-CN"/>
        </w:rPr>
        <w:t>日。</w:t>
      </w:r>
    </w:p>
    <w:p w14:paraId="331D82AB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100,000 USDC </w:t>
      </w:r>
      <w:r w:rsidRPr="006F3586">
        <w:rPr>
          <w:rFonts w:cs="Arial"/>
          <w:lang w:eastAsia="zh-CN"/>
        </w:rPr>
        <w:t>下，正常环境退出成本预算的</w:t>
      </w:r>
      <w:r w:rsidRPr="006F3586">
        <w:rPr>
          <w:rFonts w:cs="Arial"/>
          <w:lang w:eastAsia="zh-CN"/>
        </w:rPr>
        <w:t xml:space="preserve"> P50/P95 </w:t>
      </w:r>
      <w:r w:rsidRPr="006F3586">
        <w:rPr>
          <w:rFonts w:cs="Arial"/>
          <w:lang w:eastAsia="zh-CN"/>
        </w:rPr>
        <w:t>为资本的</w:t>
      </w:r>
      <w:r w:rsidRPr="006F3586">
        <w:rPr>
          <w:rFonts w:cs="Arial"/>
          <w:lang w:eastAsia="zh-CN"/>
        </w:rPr>
        <w:t xml:space="preserve"> 8.79/12.01 bps</w:t>
      </w:r>
      <w:r w:rsidRPr="006F3586">
        <w:rPr>
          <w:rFonts w:cs="Arial"/>
          <w:lang w:eastAsia="zh-CN"/>
        </w:rPr>
        <w:t>，压力环境为</w:t>
      </w:r>
      <w:r w:rsidRPr="006F3586">
        <w:rPr>
          <w:rFonts w:cs="Arial"/>
          <w:lang w:eastAsia="zh-CN"/>
        </w:rPr>
        <w:t xml:space="preserve"> 9.27/11.71 bps</w:t>
      </w:r>
      <w:r w:rsidRPr="006F3586">
        <w:rPr>
          <w:rFonts w:cs="Arial"/>
          <w:lang w:eastAsia="zh-CN"/>
        </w:rPr>
        <w:t>。这些是模型预算；压力</w:t>
      </w:r>
      <w:r w:rsidRPr="006F3586">
        <w:rPr>
          <w:rFonts w:cs="Arial"/>
          <w:lang w:eastAsia="zh-CN"/>
        </w:rPr>
        <w:t xml:space="preserve"> P95 </w:t>
      </w:r>
      <w:r w:rsidRPr="006F3586">
        <w:rPr>
          <w:rFonts w:cs="Arial"/>
          <w:lang w:eastAsia="zh-CN"/>
        </w:rPr>
        <w:t>更低不能证明真实压力执行更便宜。</w:t>
      </w:r>
    </w:p>
    <w:p w14:paraId="0E2AB589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lastRenderedPageBreak/>
        <w:drawing>
          <wp:inline distT="0" distB="0" distL="0" distR="0" wp14:anchorId="4A7ECD41" wp14:editId="7D95031D">
            <wp:extent cx="6035040" cy="3828877"/>
            <wp:effectExtent l="0" t="0" r="0" b="0"/>
            <wp:docPr id="12" name="Picture 12" descr="图 6.3 联合退出时间代理指标及未完成案例。每片最多占各腿四小时标的数量成交量的 0.1%，两个标的均完成才算退出。完整七日窗口对应正常 71 个、压力 36 个起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2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1353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6.3 </w:t>
      </w:r>
      <w:r w:rsidRPr="006F3586">
        <w:rPr>
          <w:rFonts w:cs="Arial"/>
          <w:b w:val="0"/>
          <w:bCs w:val="0"/>
          <w:lang w:eastAsia="zh-CN"/>
        </w:rPr>
        <w:t>联合退出时间代理指标及未完成案例。每片最多</w:t>
      </w:r>
      <w:proofErr w:type="gramStart"/>
      <w:r w:rsidRPr="006F3586">
        <w:rPr>
          <w:rFonts w:cs="Arial"/>
          <w:b w:val="0"/>
          <w:bCs w:val="0"/>
          <w:lang w:eastAsia="zh-CN"/>
        </w:rPr>
        <w:t>占各腿四小时</w:t>
      </w:r>
      <w:proofErr w:type="gramEnd"/>
      <w:r w:rsidRPr="006F3586">
        <w:rPr>
          <w:rFonts w:cs="Arial"/>
          <w:b w:val="0"/>
          <w:bCs w:val="0"/>
          <w:lang w:eastAsia="zh-CN"/>
        </w:rPr>
        <w:t>标的数量成交量的</w:t>
      </w:r>
      <w:r w:rsidRPr="006F3586">
        <w:rPr>
          <w:rFonts w:cs="Arial"/>
          <w:b w:val="0"/>
          <w:bCs w:val="0"/>
          <w:lang w:eastAsia="zh-CN"/>
        </w:rPr>
        <w:t xml:space="preserve"> 0.1%</w:t>
      </w:r>
      <w:r w:rsidRPr="006F3586">
        <w:rPr>
          <w:rFonts w:cs="Arial"/>
          <w:b w:val="0"/>
          <w:bCs w:val="0"/>
          <w:lang w:eastAsia="zh-CN"/>
        </w:rPr>
        <w:t>，两个标的均完成才算退出。完整七日窗口对应正常</w:t>
      </w:r>
      <w:r w:rsidRPr="006F3586">
        <w:rPr>
          <w:rFonts w:cs="Arial"/>
          <w:b w:val="0"/>
          <w:bCs w:val="0"/>
          <w:lang w:eastAsia="zh-CN"/>
        </w:rPr>
        <w:t xml:space="preserve"> 71 </w:t>
      </w:r>
      <w:proofErr w:type="gramStart"/>
      <w:r w:rsidRPr="006F3586">
        <w:rPr>
          <w:rFonts w:cs="Arial"/>
          <w:b w:val="0"/>
          <w:bCs w:val="0"/>
          <w:lang w:eastAsia="zh-CN"/>
        </w:rPr>
        <w:t>个</w:t>
      </w:r>
      <w:proofErr w:type="gramEnd"/>
      <w:r w:rsidRPr="006F3586">
        <w:rPr>
          <w:rFonts w:cs="Arial"/>
          <w:b w:val="0"/>
          <w:bCs w:val="0"/>
          <w:lang w:eastAsia="zh-CN"/>
        </w:rPr>
        <w:t>、压力</w:t>
      </w:r>
      <w:r w:rsidRPr="006F3586">
        <w:rPr>
          <w:rFonts w:cs="Arial"/>
          <w:b w:val="0"/>
          <w:bCs w:val="0"/>
          <w:lang w:eastAsia="zh-CN"/>
        </w:rPr>
        <w:t xml:space="preserve"> 36 </w:t>
      </w:r>
      <w:proofErr w:type="gramStart"/>
      <w:r w:rsidRPr="006F3586">
        <w:rPr>
          <w:rFonts w:cs="Arial"/>
          <w:b w:val="0"/>
          <w:bCs w:val="0"/>
          <w:lang w:eastAsia="zh-CN"/>
        </w:rPr>
        <w:t>个</w:t>
      </w:r>
      <w:proofErr w:type="gramEnd"/>
      <w:r w:rsidRPr="006F3586">
        <w:rPr>
          <w:rFonts w:cs="Arial"/>
          <w:b w:val="0"/>
          <w:bCs w:val="0"/>
          <w:lang w:eastAsia="zh-CN"/>
        </w:rPr>
        <w:t>起点。</w:t>
      </w:r>
    </w:p>
    <w:p w14:paraId="1A8926BB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100,000 USDC </w:t>
      </w:r>
      <w:r w:rsidRPr="006F3586">
        <w:rPr>
          <w:rFonts w:cs="Arial"/>
          <w:lang w:eastAsia="zh-CN"/>
        </w:rPr>
        <w:t>下，正常环境退出时间</w:t>
      </w:r>
      <w:r w:rsidRPr="006F3586">
        <w:rPr>
          <w:rFonts w:cs="Arial"/>
          <w:lang w:eastAsia="zh-CN"/>
        </w:rPr>
        <w:t xml:space="preserve"> P50/P95 </w:t>
      </w:r>
      <w:r w:rsidRPr="006F3586">
        <w:rPr>
          <w:rFonts w:cs="Arial"/>
          <w:lang w:eastAsia="zh-CN"/>
        </w:rPr>
        <w:t>为</w:t>
      </w:r>
      <w:r w:rsidRPr="006F3586">
        <w:rPr>
          <w:rFonts w:cs="Arial"/>
          <w:lang w:eastAsia="zh-CN"/>
        </w:rPr>
        <w:t xml:space="preserve"> 44/84 </w:t>
      </w:r>
      <w:r w:rsidRPr="006F3586">
        <w:rPr>
          <w:rFonts w:cs="Arial"/>
          <w:lang w:eastAsia="zh-CN"/>
        </w:rPr>
        <w:t>小时，压力环境为</w:t>
      </w:r>
      <w:r w:rsidRPr="006F3586">
        <w:rPr>
          <w:rFonts w:cs="Arial"/>
          <w:lang w:eastAsia="zh-CN"/>
        </w:rPr>
        <w:t xml:space="preserve"> 20/44 </w:t>
      </w:r>
      <w:r w:rsidRPr="006F3586">
        <w:rPr>
          <w:rFonts w:cs="Arial"/>
          <w:lang w:eastAsia="zh-CN"/>
        </w:rPr>
        <w:t>小时。</w:t>
      </w:r>
      <w:r w:rsidRPr="006F3586">
        <w:rPr>
          <w:rFonts w:cs="Arial"/>
          <w:lang w:eastAsia="zh-CN"/>
        </w:rPr>
        <w:t xml:space="preserve">500,000 </w:t>
      </w:r>
      <w:r w:rsidRPr="006F3586">
        <w:rPr>
          <w:rFonts w:cs="Arial"/>
          <w:lang w:eastAsia="zh-CN"/>
        </w:rPr>
        <w:t>下，正常起点的</w:t>
      </w:r>
      <w:r w:rsidRPr="006F3586">
        <w:rPr>
          <w:rFonts w:cs="Arial"/>
          <w:lang w:eastAsia="zh-CN"/>
        </w:rPr>
        <w:t xml:space="preserve"> 63.4% </w:t>
      </w:r>
      <w:r w:rsidRPr="006F3586">
        <w:rPr>
          <w:rFonts w:cs="Arial"/>
          <w:lang w:eastAsia="zh-CN"/>
        </w:rPr>
        <w:t>与压力起点的</w:t>
      </w:r>
      <w:r w:rsidRPr="006F3586">
        <w:rPr>
          <w:rFonts w:cs="Arial"/>
          <w:lang w:eastAsia="zh-CN"/>
        </w:rPr>
        <w:t xml:space="preserve"> 22.2% </w:t>
      </w:r>
      <w:r w:rsidRPr="006F3586">
        <w:rPr>
          <w:rFonts w:cs="Arial"/>
          <w:lang w:eastAsia="zh-CN"/>
        </w:rPr>
        <w:t>在</w:t>
      </w:r>
      <w:r w:rsidRPr="006F3586">
        <w:rPr>
          <w:rFonts w:cs="Arial"/>
          <w:lang w:eastAsia="zh-CN"/>
        </w:rPr>
        <w:t xml:space="preserve"> 168 </w:t>
      </w:r>
      <w:r w:rsidRPr="006F3586">
        <w:rPr>
          <w:rFonts w:cs="Arial"/>
          <w:lang w:eastAsia="zh-CN"/>
        </w:rPr>
        <w:t>小时后仍未完成。压力时段成交量增加可以缩短代理时间，却不代表深度改善。这些</w:t>
      </w:r>
      <w:proofErr w:type="gramStart"/>
      <w:r w:rsidRPr="006F3586">
        <w:rPr>
          <w:rFonts w:cs="Arial"/>
          <w:lang w:eastAsia="zh-CN"/>
        </w:rPr>
        <w:t>诊断既</w:t>
      </w:r>
      <w:proofErr w:type="gramEnd"/>
      <w:r w:rsidRPr="006F3586">
        <w:rPr>
          <w:rFonts w:cs="Arial"/>
          <w:lang w:eastAsia="zh-CN"/>
        </w:rPr>
        <w:t>不作为图</w:t>
      </w:r>
      <w:r w:rsidRPr="006F3586">
        <w:rPr>
          <w:rFonts w:cs="Arial"/>
          <w:lang w:eastAsia="zh-CN"/>
        </w:rPr>
        <w:t xml:space="preserve"> 6.1 </w:t>
      </w:r>
      <w:r w:rsidRPr="006F3586">
        <w:rPr>
          <w:rFonts w:cs="Arial"/>
          <w:lang w:eastAsia="zh-CN"/>
        </w:rPr>
        <w:t>的额外费用，也不是经过核验的联合执行模拟。</w:t>
      </w:r>
    </w:p>
    <w:p w14:paraId="1A9F83AA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示例性准入条件为：年度净回报至少</w:t>
      </w:r>
      <w:r w:rsidRPr="006F3586">
        <w:rPr>
          <w:rFonts w:cs="Arial"/>
          <w:lang w:eastAsia="zh-CN"/>
        </w:rPr>
        <w:t xml:space="preserve"> 2%</w:t>
      </w:r>
      <w:r w:rsidRPr="006F3586">
        <w:rPr>
          <w:rFonts w:cs="Arial"/>
          <w:lang w:eastAsia="zh-CN"/>
        </w:rPr>
        <w:t>，</w:t>
      </w:r>
      <w:r w:rsidRPr="006F3586">
        <w:rPr>
          <w:rFonts w:cs="Arial"/>
          <w:lang w:eastAsia="zh-CN"/>
        </w:rPr>
        <w:t xml:space="preserve">95% </w:t>
      </w:r>
      <w:r w:rsidRPr="006F3586">
        <w:rPr>
          <w:rFonts w:cs="Arial"/>
          <w:lang w:eastAsia="zh-CN"/>
        </w:rPr>
        <w:t>的压力退出在</w:t>
      </w:r>
      <w:r w:rsidRPr="006F3586">
        <w:rPr>
          <w:rFonts w:cs="Arial"/>
          <w:lang w:eastAsia="zh-CN"/>
        </w:rPr>
        <w:t xml:space="preserve"> 24 </w:t>
      </w:r>
      <w:r w:rsidRPr="006F3586">
        <w:rPr>
          <w:rFonts w:cs="Arial"/>
          <w:lang w:eastAsia="zh-CN"/>
        </w:rPr>
        <w:t>小时内完成，且不突破抵押缓冲。所有中心回报情景均未达标；实际容量尚未证实，不等于测得容量为零。若使用优先级竞价，还需计入相应成本：</w:t>
      </w:r>
      <w:r w:rsidRPr="006F3586">
        <w:rPr>
          <w:rFonts w:cs="Arial"/>
          <w:lang w:eastAsia="zh-CN"/>
        </w:rPr>
        <w:t xml:space="preserve">IOC </w:t>
      </w:r>
      <w:r w:rsidRPr="006F3586">
        <w:rPr>
          <w:rFonts w:cs="Arial"/>
          <w:lang w:eastAsia="zh-CN"/>
        </w:rPr>
        <w:t>按成交名义金额计费，</w:t>
      </w:r>
      <w:r w:rsidRPr="006F3586">
        <w:rPr>
          <w:rFonts w:cs="Arial"/>
          <w:lang w:eastAsia="zh-CN"/>
        </w:rPr>
        <w:t xml:space="preserve">ALO </w:t>
      </w:r>
      <w:r w:rsidRPr="006F3586">
        <w:rPr>
          <w:rFonts w:cs="Arial"/>
          <w:lang w:eastAsia="zh-CN"/>
        </w:rPr>
        <w:t>挂单可能未成交也收费。队列竞争、库存与逆向选择需</w:t>
      </w:r>
      <w:proofErr w:type="gramStart"/>
      <w:r w:rsidRPr="006F3586">
        <w:rPr>
          <w:rFonts w:cs="Arial"/>
          <w:lang w:eastAsia="zh-CN"/>
        </w:rPr>
        <w:t>订单级</w:t>
      </w:r>
      <w:proofErr w:type="gramEnd"/>
      <w:r w:rsidRPr="006F3586">
        <w:rPr>
          <w:rFonts w:cs="Arial"/>
          <w:lang w:eastAsia="zh-CN"/>
        </w:rPr>
        <w:t>证据；仅靠</w:t>
      </w:r>
      <w:r w:rsidRPr="006F3586">
        <w:rPr>
          <w:rFonts w:cs="Arial"/>
          <w:lang w:eastAsia="zh-CN"/>
        </w:rPr>
        <w:t xml:space="preserve"> L2 </w:t>
      </w:r>
      <w:r w:rsidRPr="006F3586">
        <w:rPr>
          <w:rFonts w:cs="Arial"/>
          <w:lang w:eastAsia="zh-CN"/>
        </w:rPr>
        <w:t>快照不能复现做市表现。</w:t>
      </w:r>
      <w:r w:rsidRPr="006F3586">
        <w:rPr>
          <w:rFonts w:cs="Arial"/>
          <w:lang w:eastAsia="zh-CN"/>
        </w:rPr>
        <w:t>[7]</w:t>
      </w:r>
    </w:p>
    <w:p w14:paraId="748ADF48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7 </w:t>
      </w:r>
      <w:r w:rsidRPr="006F3586">
        <w:rPr>
          <w:rFonts w:cs="Arial"/>
          <w:b w:val="0"/>
          <w:bCs w:val="0"/>
          <w:lang w:eastAsia="zh-CN"/>
        </w:rPr>
        <w:t>尾部风险与运营风险</w:t>
      </w:r>
    </w:p>
    <w:p w14:paraId="0EA4B4C9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尾部损失可能在对冲、抵押与流动性保护同时失效时出现。价格上涨可以耗损永续空头抵押，而对应现货盈利却无法及时用作保证金。现金储备必须在相关账户模式下合格且可调拨，才能提供保护。基于标记价格的清算不同于可执行报价。自动减仓可能移除盈利空头，留下现货净多头。</w:t>
      </w:r>
      <w:r w:rsidRPr="006F3586">
        <w:rPr>
          <w:rFonts w:cs="Arial"/>
          <w:lang w:eastAsia="zh-CN"/>
        </w:rPr>
        <w:t>[6, 8]</w:t>
      </w:r>
    </w:p>
    <w:p w14:paraId="5FB83E96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资金费反转、</w:t>
      </w:r>
      <w:proofErr w:type="gramStart"/>
      <w:r w:rsidRPr="006F3586">
        <w:rPr>
          <w:rFonts w:cs="Arial"/>
          <w:lang w:eastAsia="zh-CN"/>
        </w:rPr>
        <w:t>不利基差</w:t>
      </w:r>
      <w:proofErr w:type="gramEnd"/>
      <w:r w:rsidRPr="006F3586">
        <w:rPr>
          <w:rFonts w:cs="Arial"/>
          <w:lang w:eastAsia="zh-CN"/>
        </w:rPr>
        <w:t>变化、</w:t>
      </w:r>
      <w:r w:rsidRPr="006F3586">
        <w:rPr>
          <w:rFonts w:cs="Arial"/>
          <w:lang w:eastAsia="zh-CN"/>
        </w:rPr>
        <w:t xml:space="preserve">UBTC/UETH </w:t>
      </w:r>
      <w:r w:rsidRPr="006F3586">
        <w:rPr>
          <w:rFonts w:cs="Arial"/>
          <w:lang w:eastAsia="zh-CN"/>
        </w:rPr>
        <w:t>赎回受损与</w:t>
      </w:r>
      <w:r w:rsidRPr="006F3586">
        <w:rPr>
          <w:rFonts w:cs="Arial"/>
          <w:lang w:eastAsia="zh-CN"/>
        </w:rPr>
        <w:t xml:space="preserve"> USDC </w:t>
      </w:r>
      <w:r w:rsidRPr="006F3586">
        <w:rPr>
          <w:rFonts w:cs="Arial"/>
          <w:lang w:eastAsia="zh-CN"/>
        </w:rPr>
        <w:t>脱锚是不同风险渠道。</w:t>
      </w:r>
      <w:r w:rsidRPr="006F3586">
        <w:rPr>
          <w:rFonts w:cs="Arial"/>
          <w:lang w:eastAsia="zh-CN"/>
        </w:rPr>
        <w:t xml:space="preserve">Unit </w:t>
      </w:r>
      <w:r w:rsidRPr="006F3586">
        <w:rPr>
          <w:rFonts w:cs="Arial"/>
          <w:lang w:eastAsia="zh-CN"/>
        </w:rPr>
        <w:t>的托管、签名与赎回连续性需审查。资金费率策略与</w:t>
      </w:r>
      <w:r w:rsidRPr="006F3586">
        <w:rPr>
          <w:rFonts w:cs="Arial"/>
          <w:lang w:eastAsia="zh-CN"/>
        </w:rPr>
        <w:t xml:space="preserve"> HLP </w:t>
      </w:r>
      <w:r w:rsidRPr="006F3586">
        <w:rPr>
          <w:rFonts w:cs="Arial"/>
          <w:lang w:eastAsia="zh-CN"/>
        </w:rPr>
        <w:t>共用平台、验证者及软件依赖，多种策略不能消除共同故障风险。</w:t>
      </w:r>
      <w:r w:rsidRPr="006F3586">
        <w:rPr>
          <w:rFonts w:cs="Arial"/>
          <w:lang w:eastAsia="zh-CN"/>
        </w:rPr>
        <w:t>[9]</w:t>
      </w:r>
    </w:p>
    <w:p w14:paraId="3A45E9D8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HLP </w:t>
      </w:r>
      <w:r w:rsidRPr="006F3586">
        <w:rPr>
          <w:rFonts w:cs="Arial"/>
          <w:lang w:eastAsia="zh-CN"/>
        </w:rPr>
        <w:t>当前条款规定，从最近一次存入起锁定四天；其他金库需逐一核实。满足提款资格、完成持仓变现及取得可在外部使用的资金，是不同阶段。缺少生效日期的现行机制只能用于前瞻尽调，不能直接用于历史归因。</w:t>
      </w:r>
      <w:r w:rsidRPr="006F3586">
        <w:rPr>
          <w:rFonts w:cs="Arial"/>
          <w:lang w:eastAsia="zh-CN"/>
        </w:rPr>
        <w:t>[4]</w:t>
      </w:r>
    </w:p>
    <w:p w14:paraId="2728C5C8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联合压力情景应同时考虑价格跳空、</w:t>
      </w:r>
      <w:proofErr w:type="gramStart"/>
      <w:r w:rsidRPr="006F3586">
        <w:rPr>
          <w:rFonts w:cs="Arial"/>
          <w:lang w:eastAsia="zh-CN"/>
        </w:rPr>
        <w:t>负资金</w:t>
      </w:r>
      <w:proofErr w:type="gramEnd"/>
      <w:r w:rsidRPr="006F3586">
        <w:rPr>
          <w:rFonts w:cs="Arial"/>
          <w:lang w:eastAsia="zh-CN"/>
        </w:rPr>
        <w:t>费、深度下降及转账延迟，输出</w:t>
      </w:r>
      <w:proofErr w:type="gramStart"/>
      <w:r w:rsidRPr="006F3586">
        <w:rPr>
          <w:rFonts w:cs="Arial"/>
          <w:lang w:eastAsia="zh-CN"/>
        </w:rPr>
        <w:t>全资本</w:t>
      </w:r>
      <w:proofErr w:type="gramEnd"/>
      <w:r w:rsidRPr="006F3586">
        <w:rPr>
          <w:rFonts w:cs="Arial"/>
          <w:lang w:eastAsia="zh-CN"/>
        </w:rPr>
        <w:t>损失、最低维持保证金余量、剩余方向敞口及</w:t>
      </w:r>
      <w:r w:rsidRPr="006F3586">
        <w:rPr>
          <w:rFonts w:cs="Arial"/>
          <w:lang w:eastAsia="zh-CN"/>
        </w:rPr>
        <w:t xml:space="preserve"> 24/72 </w:t>
      </w:r>
      <w:r w:rsidRPr="006F3586">
        <w:rPr>
          <w:rFonts w:cs="Arial"/>
          <w:lang w:eastAsia="zh-CN"/>
        </w:rPr>
        <w:t>小时内可用现金。反向压力测试应找到触及授权损失或抵押约束的条件；稀疏观测不能确定尾部事件概率。</w:t>
      </w:r>
    </w:p>
    <w:p w14:paraId="623859FA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运营审查应测试密钥权限、对账、行情新鲜度、容灾、撤单计时器与事故责任。撤单不等于平仓。第</w:t>
      </w:r>
      <w:r w:rsidRPr="006F3586">
        <w:rPr>
          <w:rFonts w:cs="Arial"/>
          <w:lang w:eastAsia="zh-CN"/>
        </w:rPr>
        <w:t xml:space="preserve"> 4 </w:t>
      </w:r>
      <w:r w:rsidRPr="006F3586">
        <w:rPr>
          <w:rFonts w:cs="Arial"/>
          <w:lang w:eastAsia="zh-CN"/>
        </w:rPr>
        <w:t>章的抵押代理指标及</w:t>
      </w:r>
      <w:r w:rsidRPr="006F3586">
        <w:rPr>
          <w:rFonts w:cs="Arial"/>
          <w:lang w:eastAsia="zh-CN"/>
        </w:rPr>
        <w:t xml:space="preserve"> HLP </w:t>
      </w:r>
      <w:r w:rsidRPr="006F3586">
        <w:rPr>
          <w:rFonts w:cs="Arial"/>
          <w:lang w:eastAsia="zh-CN"/>
        </w:rPr>
        <w:t>的稀疏回撤均不能验证这些保护措施。</w:t>
      </w:r>
    </w:p>
    <w:p w14:paraId="26E0C13C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8 HIP3 </w:t>
      </w:r>
      <w:proofErr w:type="gramStart"/>
      <w:r w:rsidRPr="006F3586">
        <w:rPr>
          <w:rFonts w:cs="Arial"/>
          <w:b w:val="0"/>
          <w:bCs w:val="0"/>
          <w:lang w:eastAsia="zh-CN"/>
        </w:rPr>
        <w:t>跨资产</w:t>
      </w:r>
      <w:proofErr w:type="gramEnd"/>
      <w:r w:rsidRPr="006F3586">
        <w:rPr>
          <w:rFonts w:cs="Arial"/>
          <w:b w:val="0"/>
          <w:bCs w:val="0"/>
          <w:lang w:eastAsia="zh-CN"/>
        </w:rPr>
        <w:t>相对价值</w:t>
      </w:r>
    </w:p>
    <w:p w14:paraId="1761E67A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Messari </w:t>
      </w:r>
      <w:r w:rsidRPr="006F3586">
        <w:rPr>
          <w:rFonts w:cs="Arial"/>
          <w:lang w:eastAsia="zh-CN"/>
        </w:rPr>
        <w:t>研究覆盖</w:t>
      </w:r>
      <w:r w:rsidRPr="006F3586">
        <w:rPr>
          <w:rFonts w:cs="Arial"/>
          <w:lang w:eastAsia="zh-CN"/>
        </w:rPr>
        <w:t xml:space="preserve"> 614 </w:t>
      </w:r>
      <w:proofErr w:type="gramStart"/>
      <w:r w:rsidRPr="006F3586">
        <w:rPr>
          <w:rFonts w:cs="Arial"/>
          <w:lang w:eastAsia="zh-CN"/>
        </w:rPr>
        <w:t>个</w:t>
      </w:r>
      <w:proofErr w:type="gramEnd"/>
      <w:r w:rsidRPr="006F3586">
        <w:rPr>
          <w:rFonts w:cs="Arial"/>
          <w:lang w:eastAsia="zh-CN"/>
        </w:rPr>
        <w:t>市场周末：相较沿用休市前价格，重新开市参考值的预测误差中位数降低</w:t>
      </w:r>
      <w:r w:rsidRPr="006F3586">
        <w:rPr>
          <w:rFonts w:cs="Arial"/>
          <w:lang w:eastAsia="zh-CN"/>
        </w:rPr>
        <w:t xml:space="preserve"> 53%</w:t>
      </w:r>
      <w:r w:rsidRPr="006F3586">
        <w:rPr>
          <w:rFonts w:cs="Arial"/>
          <w:lang w:eastAsia="zh-CN"/>
        </w:rPr>
        <w:t>。其目标是外部预言机基准，不是可执行利润。</w:t>
      </w:r>
      <w:r w:rsidRPr="006F3586">
        <w:rPr>
          <w:rFonts w:cs="Arial"/>
          <w:lang w:eastAsia="zh-CN"/>
        </w:rPr>
        <w:t>[10]</w:t>
      </w:r>
    </w:p>
    <w:p w14:paraId="21D39B55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lang w:eastAsia="zh-CN"/>
        </w:rPr>
        <w:t>案例将</w:t>
      </w:r>
      <w:r w:rsidRPr="006F3586">
        <w:rPr>
          <w:rFonts w:cs="Arial"/>
          <w:lang w:eastAsia="zh-CN"/>
        </w:rPr>
        <w:t xml:space="preserve"> </w:t>
      </w:r>
      <w:proofErr w:type="spellStart"/>
      <w:r w:rsidRPr="006F3586">
        <w:rPr>
          <w:rFonts w:cs="Arial"/>
          <w:lang w:eastAsia="zh-CN"/>
        </w:rPr>
        <w:t>TradeXYZ</w:t>
      </w:r>
      <w:proofErr w:type="spellEnd"/>
      <w:r w:rsidRPr="006F3586">
        <w:rPr>
          <w:rFonts w:cs="Arial"/>
          <w:lang w:eastAsia="zh-CN"/>
        </w:rPr>
        <w:t xml:space="preserve"> TSLA </w:t>
      </w:r>
      <w:r w:rsidRPr="006F3586">
        <w:rPr>
          <w:rFonts w:cs="Arial"/>
          <w:lang w:eastAsia="zh-CN"/>
        </w:rPr>
        <w:t>与</w:t>
      </w:r>
      <w:r w:rsidRPr="006F3586">
        <w:rPr>
          <w:rFonts w:cs="Arial"/>
          <w:lang w:eastAsia="zh-CN"/>
        </w:rPr>
        <w:t xml:space="preserve"> Tesla </w:t>
      </w:r>
      <w:r w:rsidRPr="006F3586">
        <w:rPr>
          <w:rFonts w:cs="Arial"/>
          <w:lang w:eastAsia="zh-CN"/>
        </w:rPr>
        <w:t>股票配对，将</w:t>
      </w:r>
      <w:r w:rsidRPr="006F3586">
        <w:rPr>
          <w:rFonts w:cs="Arial"/>
          <w:lang w:eastAsia="zh-CN"/>
        </w:rPr>
        <w:t xml:space="preserve"> GOLD </w:t>
      </w:r>
      <w:r w:rsidRPr="006F3586">
        <w:rPr>
          <w:rFonts w:cs="Arial"/>
          <w:lang w:eastAsia="zh-CN"/>
        </w:rPr>
        <w:t>与</w:t>
      </w:r>
      <w:r w:rsidRPr="006F3586">
        <w:rPr>
          <w:rFonts w:cs="Arial"/>
          <w:lang w:eastAsia="zh-CN"/>
        </w:rPr>
        <w:t xml:space="preserve"> CME </w:t>
      </w:r>
      <w:r w:rsidRPr="006F3586">
        <w:rPr>
          <w:rFonts w:cs="Arial"/>
          <w:lang w:eastAsia="zh-CN"/>
        </w:rPr>
        <w:t>微型黄金</w:t>
      </w:r>
      <w:r w:rsidRPr="006F3586">
        <w:rPr>
          <w:rFonts w:cs="Arial"/>
          <w:lang w:eastAsia="zh-CN"/>
        </w:rPr>
        <w:t xml:space="preserve"> MGC </w:t>
      </w:r>
      <w:r w:rsidRPr="006F3586">
        <w:rPr>
          <w:rFonts w:cs="Arial"/>
          <w:lang w:eastAsia="zh-CN"/>
        </w:rPr>
        <w:t>配对，</w:t>
      </w:r>
      <w:r w:rsidRPr="006F3586">
        <w:rPr>
          <w:rFonts w:cs="Arial"/>
          <w:lang w:eastAsia="zh-CN"/>
        </w:rPr>
        <w:t xml:space="preserve">MGC </w:t>
      </w:r>
      <w:r w:rsidRPr="006F3586">
        <w:rPr>
          <w:rFonts w:cs="Arial"/>
          <w:lang w:eastAsia="zh-CN"/>
        </w:rPr>
        <w:t>每张对应</w:t>
      </w:r>
      <w:r w:rsidRPr="006F3586">
        <w:rPr>
          <w:rFonts w:cs="Arial"/>
          <w:lang w:eastAsia="zh-CN"/>
        </w:rPr>
        <w:t xml:space="preserve"> 10 </w:t>
      </w:r>
      <w:r w:rsidRPr="006F3586">
        <w:rPr>
          <w:rFonts w:cs="Arial"/>
          <w:lang w:eastAsia="zh-CN"/>
        </w:rPr>
        <w:t>金衡盎司。</w:t>
      </w:r>
      <w:r w:rsidRPr="006F3586">
        <w:rPr>
          <w:rFonts w:cs="Arial"/>
          <w:lang w:eastAsia="zh-CN"/>
        </w:rPr>
        <w:t xml:space="preserve">HIP-3 </w:t>
      </w:r>
      <w:r w:rsidRPr="006F3586">
        <w:rPr>
          <w:rFonts w:cs="Arial"/>
          <w:lang w:eastAsia="zh-CN"/>
        </w:rPr>
        <w:t>历史合约乘数及参考定义尚未核验。</w:t>
      </w:r>
      <w:r w:rsidRPr="006F3586">
        <w:rPr>
          <w:rFonts w:cs="Arial"/>
          <w:lang w:eastAsia="zh-CN"/>
        </w:rPr>
        <w:t xml:space="preserve">TSLA </w:t>
      </w:r>
      <w:r w:rsidRPr="006F3586">
        <w:rPr>
          <w:rFonts w:cs="Arial"/>
          <w:lang w:eastAsia="zh-CN"/>
        </w:rPr>
        <w:t>需核对公司行动与融券；</w:t>
      </w:r>
      <w:r w:rsidRPr="006F3586">
        <w:rPr>
          <w:rFonts w:cs="Arial"/>
          <w:lang w:eastAsia="zh-CN"/>
        </w:rPr>
        <w:t xml:space="preserve">GOLD </w:t>
      </w:r>
      <w:r w:rsidRPr="006F3586">
        <w:rPr>
          <w:rFonts w:cs="Arial"/>
          <w:lang w:eastAsia="zh-CN"/>
        </w:rPr>
        <w:t>需区分现货参考与滚动期货，选定到期合约，并处理基差、换月与交割。两者均涉及币种转换、融资与分账户抵押。</w:t>
      </w:r>
      <w:r w:rsidRPr="006F3586">
        <w:rPr>
          <w:rFonts w:cs="Arial"/>
          <w:lang w:eastAsia="zh-CN"/>
        </w:rPr>
        <w:t>[11, 12]</w:t>
      </w:r>
    </w:p>
    <w:p w14:paraId="4DFACA85" w14:textId="77777777" w:rsidR="004712C8" w:rsidRPr="006F3586" w:rsidRDefault="00000000" w:rsidP="006F3586">
      <w:pPr>
        <w:keepNext/>
        <w:suppressLineNumbers/>
        <w:suppressAutoHyphens/>
        <w:overflowPunct w:val="0"/>
        <w:spacing w:before="100" w:after="0" w:line="240" w:lineRule="auto"/>
        <w:jc w:val="center"/>
      </w:pPr>
      <w:r w:rsidRPr="006F3586">
        <w:rPr>
          <w:noProof/>
        </w:rPr>
        <w:drawing>
          <wp:inline distT="0" distB="0" distL="0" distR="0" wp14:anchorId="58A55AD5" wp14:editId="5A9A7B6A">
            <wp:extent cx="6035040" cy="3755974"/>
            <wp:effectExtent l="0" t="0" r="0" b="0"/>
            <wp:docPr id="13" name="Picture 13" descr="图 8 2026 年 8 月 28–31 日 UTC 的交易时段及证据地图。TSLA 对冲腿假设仅可在常规时段交易，MGC 使用标准 CME 日历。缺少同步价格的部分保留 N/A。日历重建并非平台运行审计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2476" w14:textId="77777777" w:rsidR="004712C8" w:rsidRPr="006F3586" w:rsidRDefault="00000000" w:rsidP="006F3586">
      <w:pPr>
        <w:pStyle w:val="af7"/>
        <w:keepNext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t>图</w:t>
      </w:r>
      <w:r w:rsidRPr="006F3586">
        <w:rPr>
          <w:rFonts w:cs="Arial"/>
          <w:b w:val="0"/>
          <w:bCs w:val="0"/>
          <w:lang w:eastAsia="zh-CN"/>
        </w:rPr>
        <w:t xml:space="preserve"> 8 2026 </w:t>
      </w:r>
      <w:r w:rsidRPr="006F3586">
        <w:rPr>
          <w:rFonts w:cs="Arial"/>
          <w:b w:val="0"/>
          <w:bCs w:val="0"/>
          <w:lang w:eastAsia="zh-CN"/>
        </w:rPr>
        <w:t>年</w:t>
      </w:r>
      <w:r w:rsidRPr="006F3586">
        <w:rPr>
          <w:rFonts w:cs="Arial"/>
          <w:b w:val="0"/>
          <w:bCs w:val="0"/>
          <w:lang w:eastAsia="zh-CN"/>
        </w:rPr>
        <w:t xml:space="preserve"> 8 </w:t>
      </w:r>
      <w:r w:rsidRPr="006F3586">
        <w:rPr>
          <w:rFonts w:cs="Arial"/>
          <w:b w:val="0"/>
          <w:bCs w:val="0"/>
          <w:lang w:eastAsia="zh-CN"/>
        </w:rPr>
        <w:t>月</w:t>
      </w:r>
      <w:r w:rsidRPr="006F3586">
        <w:rPr>
          <w:rFonts w:cs="Arial"/>
          <w:b w:val="0"/>
          <w:bCs w:val="0"/>
          <w:lang w:eastAsia="zh-CN"/>
        </w:rPr>
        <w:t xml:space="preserve"> 28–31 </w:t>
      </w:r>
      <w:r w:rsidRPr="006F3586">
        <w:rPr>
          <w:rFonts w:cs="Arial"/>
          <w:b w:val="0"/>
          <w:bCs w:val="0"/>
          <w:lang w:eastAsia="zh-CN"/>
        </w:rPr>
        <w:t>日</w:t>
      </w:r>
      <w:r w:rsidRPr="006F3586">
        <w:rPr>
          <w:rFonts w:cs="Arial"/>
          <w:b w:val="0"/>
          <w:bCs w:val="0"/>
          <w:lang w:eastAsia="zh-CN"/>
        </w:rPr>
        <w:t xml:space="preserve"> UTC </w:t>
      </w:r>
      <w:r w:rsidRPr="006F3586">
        <w:rPr>
          <w:rFonts w:cs="Arial"/>
          <w:b w:val="0"/>
          <w:bCs w:val="0"/>
          <w:lang w:eastAsia="zh-CN"/>
        </w:rPr>
        <w:t>的交易时段及证据地图。</w:t>
      </w:r>
      <w:r w:rsidRPr="006F3586">
        <w:rPr>
          <w:rFonts w:cs="Arial"/>
          <w:b w:val="0"/>
          <w:bCs w:val="0"/>
          <w:lang w:eastAsia="zh-CN"/>
        </w:rPr>
        <w:t xml:space="preserve">TSLA </w:t>
      </w:r>
      <w:proofErr w:type="gramStart"/>
      <w:r w:rsidRPr="006F3586">
        <w:rPr>
          <w:rFonts w:cs="Arial"/>
          <w:b w:val="0"/>
          <w:bCs w:val="0"/>
          <w:lang w:eastAsia="zh-CN"/>
        </w:rPr>
        <w:t>对冲腿假设</w:t>
      </w:r>
      <w:proofErr w:type="gramEnd"/>
      <w:r w:rsidRPr="006F3586">
        <w:rPr>
          <w:rFonts w:cs="Arial"/>
          <w:b w:val="0"/>
          <w:bCs w:val="0"/>
          <w:lang w:eastAsia="zh-CN"/>
        </w:rPr>
        <w:t>仅可在常规时段交易，</w:t>
      </w:r>
      <w:r w:rsidRPr="006F3586">
        <w:rPr>
          <w:rFonts w:cs="Arial"/>
          <w:b w:val="0"/>
          <w:bCs w:val="0"/>
          <w:lang w:eastAsia="zh-CN"/>
        </w:rPr>
        <w:t xml:space="preserve">MGC </w:t>
      </w:r>
      <w:r w:rsidRPr="006F3586">
        <w:rPr>
          <w:rFonts w:cs="Arial"/>
          <w:b w:val="0"/>
          <w:bCs w:val="0"/>
          <w:lang w:eastAsia="zh-CN"/>
        </w:rPr>
        <w:t>使用标准</w:t>
      </w:r>
      <w:r w:rsidRPr="006F3586">
        <w:rPr>
          <w:rFonts w:cs="Arial"/>
          <w:b w:val="0"/>
          <w:bCs w:val="0"/>
          <w:lang w:eastAsia="zh-CN"/>
        </w:rPr>
        <w:t xml:space="preserve"> CME </w:t>
      </w:r>
      <w:r w:rsidRPr="006F3586">
        <w:rPr>
          <w:rFonts w:cs="Arial"/>
          <w:b w:val="0"/>
          <w:bCs w:val="0"/>
          <w:lang w:eastAsia="zh-CN"/>
        </w:rPr>
        <w:t>日历。缺少同步价格的部分保留</w:t>
      </w:r>
      <w:r w:rsidRPr="006F3586">
        <w:rPr>
          <w:rFonts w:cs="Arial"/>
          <w:b w:val="0"/>
          <w:bCs w:val="0"/>
          <w:lang w:eastAsia="zh-CN"/>
        </w:rPr>
        <w:t xml:space="preserve"> N/A</w:t>
      </w:r>
      <w:r w:rsidRPr="006F3586">
        <w:rPr>
          <w:rFonts w:cs="Arial"/>
          <w:b w:val="0"/>
          <w:bCs w:val="0"/>
          <w:lang w:eastAsia="zh-CN"/>
        </w:rPr>
        <w:t>。日历重建并非平台运行审计。</w:t>
      </w:r>
    </w:p>
    <w:p w14:paraId="69DB9C08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外部市场开市时，应在单位标准化后比较同步、正确买卖方向的报价，并计入全部成本。休市期间，周五价格不能支持新的双腿交易，已有对</w:t>
      </w:r>
      <w:proofErr w:type="gramStart"/>
      <w:r w:rsidRPr="006F3586">
        <w:rPr>
          <w:rFonts w:cs="Arial"/>
          <w:lang w:eastAsia="zh-CN"/>
        </w:rPr>
        <w:t>冲可能</w:t>
      </w:r>
      <w:proofErr w:type="gramEnd"/>
      <w:r w:rsidRPr="006F3586">
        <w:rPr>
          <w:rFonts w:cs="Arial"/>
          <w:lang w:eastAsia="zh-CN"/>
        </w:rPr>
        <w:t>也无法调整。图中</w:t>
      </w:r>
      <w:r w:rsidRPr="006F3586">
        <w:rPr>
          <w:rFonts w:cs="Arial"/>
          <w:lang w:eastAsia="zh-CN"/>
        </w:rPr>
        <w:t xml:space="preserve"> TSLA/MGC </w:t>
      </w:r>
      <w:r w:rsidRPr="006F3586">
        <w:rPr>
          <w:rFonts w:cs="Arial"/>
          <w:lang w:eastAsia="zh-CN"/>
        </w:rPr>
        <w:t>分别休市</w:t>
      </w:r>
      <w:r w:rsidRPr="006F3586">
        <w:rPr>
          <w:rFonts w:cs="Arial"/>
          <w:lang w:eastAsia="zh-CN"/>
        </w:rPr>
        <w:t xml:space="preserve"> 65.5/49 </w:t>
      </w:r>
      <w:r w:rsidRPr="006F3586">
        <w:rPr>
          <w:rFonts w:cs="Arial"/>
          <w:lang w:eastAsia="zh-CN"/>
        </w:rPr>
        <w:t>小时。实际券商权限、节假日及夏令时共同决定可交易时间。</w:t>
      </w:r>
      <w:r w:rsidRPr="006F3586">
        <w:rPr>
          <w:rFonts w:cs="Arial"/>
          <w:lang w:eastAsia="zh-CN"/>
        </w:rPr>
        <w:t>[11, 13]</w:t>
      </w:r>
    </w:p>
    <w:p w14:paraId="28FDBE97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重新开市时，跳空、停牌与部分成交都可能留下剩余风险。预言机收敛或指示性竞价价格不能保证对冲成交。应提前为两处账户备足资金，并检验压力保证金、资金转移与联合退出要求。缺少有日期的合约规则、同步报价、确认的交易权限及实际成本时，本章仅作为机制与风险案例，不估算跨市场策略回报。</w:t>
      </w:r>
    </w:p>
    <w:p w14:paraId="29857EF9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9 </w:t>
      </w:r>
      <w:r w:rsidRPr="006F3586">
        <w:rPr>
          <w:rFonts w:cs="Arial"/>
          <w:b w:val="0"/>
          <w:bCs w:val="0"/>
          <w:lang w:eastAsia="zh-CN"/>
        </w:rPr>
        <w:t>管理</w:t>
      </w:r>
      <w:proofErr w:type="gramStart"/>
      <w:r w:rsidRPr="006F3586">
        <w:rPr>
          <w:rFonts w:cs="Arial"/>
          <w:b w:val="0"/>
          <w:bCs w:val="0"/>
          <w:lang w:eastAsia="zh-CN"/>
        </w:rPr>
        <w:t>人尽调与</w:t>
      </w:r>
      <w:proofErr w:type="gramEnd"/>
      <w:r w:rsidRPr="006F3586">
        <w:rPr>
          <w:rFonts w:cs="Arial"/>
          <w:b w:val="0"/>
          <w:bCs w:val="0"/>
          <w:lang w:eastAsia="zh-CN"/>
        </w:rPr>
        <w:t>证据缺口</w:t>
      </w:r>
    </w:p>
    <w:p w14:paraId="0164E151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公开行为只是管理人评估的一部分。</w:t>
      </w:r>
      <w:r w:rsidRPr="006F3586">
        <w:rPr>
          <w:rFonts w:cs="Arial"/>
          <w:lang w:eastAsia="zh-CN"/>
        </w:rPr>
        <w:t xml:space="preserve">HLP </w:t>
      </w:r>
      <w:r w:rsidRPr="006F3586">
        <w:rPr>
          <w:rFonts w:cs="Arial"/>
          <w:lang w:eastAsia="zh-CN"/>
        </w:rPr>
        <w:t>值得开展协议尽调；普通金库在完成业绩对账及确认全部账户范围之前，仍停留在筛选阶段。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304"/>
        <w:gridCol w:w="7384"/>
      </w:tblGrid>
      <w:tr w:rsidR="004712C8" w:rsidRPr="006F3586" w14:paraId="43E6B008" w14:textId="77777777">
        <w:trPr>
          <w:cantSplit/>
          <w:tblHeader/>
          <w:jc w:val="center"/>
        </w:trPr>
        <w:tc>
          <w:tcPr>
            <w:tcW w:w="2304" w:type="dxa"/>
            <w:shd w:val="clear" w:color="auto" w:fill="E8EDF0"/>
            <w:vAlign w:val="center"/>
          </w:tcPr>
          <w:p w14:paraId="16247F26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proofErr w:type="gramStart"/>
            <w:r w:rsidRPr="006F3586">
              <w:rPr>
                <w:rFonts w:cs="Arial"/>
                <w:sz w:val="20"/>
                <w:lang w:eastAsia="zh-CN"/>
              </w:rPr>
              <w:t>尽调维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度</w:t>
            </w:r>
          </w:p>
        </w:tc>
        <w:tc>
          <w:tcPr>
            <w:tcW w:w="7384" w:type="dxa"/>
            <w:shd w:val="clear" w:color="auto" w:fill="E8EDF0"/>
            <w:vAlign w:val="center"/>
          </w:tcPr>
          <w:p w14:paraId="112E9A6B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所需证据</w:t>
            </w:r>
          </w:p>
        </w:tc>
      </w:tr>
      <w:tr w:rsidR="004712C8" w:rsidRPr="006F3586" w14:paraId="4B75A7D6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3FC0B19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策略与研究</w:t>
            </w:r>
          </w:p>
        </w:tc>
        <w:tc>
          <w:tcPr>
            <w:tcW w:w="7384" w:type="dxa"/>
            <w:vAlign w:val="center"/>
          </w:tcPr>
          <w:p w14:paraId="7742745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经济机制、数据来源链路、样本外测试、过拟合控制。</w:t>
            </w:r>
          </w:p>
        </w:tc>
      </w:tr>
      <w:tr w:rsidR="004712C8" w:rsidRPr="006F3586" w14:paraId="7E291822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BB4972D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业绩完整性</w:t>
            </w:r>
          </w:p>
        </w:tc>
        <w:tc>
          <w:tcPr>
            <w:tcW w:w="7384" w:type="dxa"/>
            <w:vAlign w:val="center"/>
          </w:tcPr>
          <w:p w14:paraId="5A18A2C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全部账户、链外对冲、资金流、费用及独立对账。</w:t>
            </w:r>
          </w:p>
        </w:tc>
      </w:tr>
      <w:tr w:rsidR="004712C8" w:rsidRPr="006F3586" w14:paraId="7A374057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98FD5E1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风险控制</w:t>
            </w:r>
          </w:p>
        </w:tc>
        <w:tc>
          <w:tcPr>
            <w:tcW w:w="7384" w:type="dxa"/>
            <w:vAlign w:val="center"/>
          </w:tcPr>
          <w:p w14:paraId="6E0CC039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硬限额、联合压力测试、越权批准与事故记录。</w:t>
            </w:r>
          </w:p>
        </w:tc>
      </w:tr>
      <w:tr w:rsidR="004712C8" w:rsidRPr="006F3586" w14:paraId="215A4137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4AC50B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基础设施</w:t>
            </w:r>
          </w:p>
        </w:tc>
        <w:tc>
          <w:tcPr>
            <w:tcW w:w="7384" w:type="dxa"/>
            <w:vAlign w:val="center"/>
          </w:tcPr>
          <w:p w14:paraId="51A0D00C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延迟、拒单、行情滞后、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容灾及紧急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撤单测试。</w:t>
            </w:r>
          </w:p>
        </w:tc>
      </w:tr>
      <w:tr w:rsidR="004712C8" w:rsidRPr="006F3586" w14:paraId="6C233067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1E84A131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团队</w:t>
            </w:r>
          </w:p>
        </w:tc>
        <w:tc>
          <w:tcPr>
            <w:tcW w:w="7384" w:type="dxa"/>
            <w:vAlign w:val="center"/>
          </w:tcPr>
          <w:p w14:paraId="61288FD8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职责、人员离职、接任安排与独立风险监督。</w:t>
            </w:r>
          </w:p>
        </w:tc>
      </w:tr>
      <w:tr w:rsidR="004712C8" w:rsidRPr="006F3586" w14:paraId="331AD9A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1D04BE94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运营</w:t>
            </w:r>
          </w:p>
        </w:tc>
        <w:tc>
          <w:tcPr>
            <w:tcW w:w="7384" w:type="dxa"/>
            <w:vAlign w:val="center"/>
          </w:tcPr>
          <w:p w14:paraId="5A10019D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密钥治理、权限、托管、服务商及赎回条款。</w:t>
            </w:r>
          </w:p>
        </w:tc>
      </w:tr>
    </w:tbl>
    <w:p w14:paraId="281D7C12" w14:textId="77777777" w:rsidR="004712C8" w:rsidRPr="006F3586" w:rsidRDefault="004712C8" w:rsidP="006F3586">
      <w:pPr>
        <w:suppressLineNumbers/>
        <w:suppressAutoHyphens/>
        <w:overflowPunct w:val="0"/>
        <w:spacing w:after="0" w:line="80" w:lineRule="exact"/>
        <w:rPr>
          <w:lang w:eastAsia="zh-CN"/>
        </w:rPr>
      </w:pPr>
    </w:p>
    <w:p w14:paraId="0E2D7730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每份</w:t>
      </w:r>
      <w:proofErr w:type="gramStart"/>
      <w:r w:rsidRPr="006F3586">
        <w:rPr>
          <w:rFonts w:cs="Arial"/>
          <w:lang w:eastAsia="zh-CN"/>
        </w:rPr>
        <w:t>研究卡</w:t>
      </w:r>
      <w:proofErr w:type="gramEnd"/>
      <w:r w:rsidRPr="006F3586">
        <w:rPr>
          <w:rFonts w:cs="Arial"/>
          <w:lang w:eastAsia="zh-CN"/>
        </w:rPr>
        <w:t>依次记录支持证据、反对证据、未解决问题及</w:t>
      </w:r>
      <w:proofErr w:type="gramStart"/>
      <w:r w:rsidRPr="006F3586">
        <w:rPr>
          <w:rFonts w:cs="Arial"/>
          <w:lang w:eastAsia="zh-CN"/>
        </w:rPr>
        <w:t>继续尽调条件</w:t>
      </w:r>
      <w:proofErr w:type="gramEnd"/>
      <w:r w:rsidRPr="006F3586">
        <w:rPr>
          <w:rFonts w:cs="Arial"/>
          <w:lang w:eastAsia="zh-CN"/>
        </w:rPr>
        <w:t>。未知控制应标记为未核验，不能自动判为失效。推进条件是业绩可对账、限额范围明确且权限控制经验证；重大矛盾或拒绝核验应暂停推进。</w:t>
      </w:r>
    </w:p>
    <w:p w14:paraId="01422C35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HLP </w:t>
      </w:r>
      <w:r w:rsidRPr="006F3586">
        <w:rPr>
          <w:rFonts w:cs="Arial"/>
          <w:lang w:eastAsia="zh-CN"/>
        </w:rPr>
        <w:t>是协议金库，普通金库也</w:t>
      </w:r>
      <w:proofErr w:type="gramStart"/>
      <w:r w:rsidRPr="006F3586">
        <w:rPr>
          <w:rFonts w:cs="Arial"/>
          <w:lang w:eastAsia="zh-CN"/>
        </w:rPr>
        <w:t>不</w:t>
      </w:r>
      <w:proofErr w:type="gramEnd"/>
      <w:r w:rsidRPr="006F3586">
        <w:rPr>
          <w:rFonts w:cs="Arial"/>
          <w:lang w:eastAsia="zh-CN"/>
        </w:rPr>
        <w:t>自动等同于独立管理账户</w:t>
      </w:r>
      <w:r w:rsidRPr="006F3586">
        <w:rPr>
          <w:rFonts w:cs="Arial"/>
          <w:lang w:eastAsia="zh-CN"/>
        </w:rPr>
        <w:t xml:space="preserve"> SMA</w:t>
      </w:r>
      <w:r w:rsidRPr="006F3586">
        <w:rPr>
          <w:rFonts w:cs="Arial"/>
          <w:lang w:eastAsia="zh-CN"/>
        </w:rPr>
        <w:t>。资产所有权、委托权限、授权约束与提款权需确认。可见资产不能证明</w:t>
      </w:r>
      <w:proofErr w:type="gramStart"/>
      <w:r w:rsidRPr="006F3586">
        <w:rPr>
          <w:rFonts w:cs="Arial"/>
          <w:lang w:eastAsia="zh-CN"/>
        </w:rPr>
        <w:t>完整管理</w:t>
      </w:r>
      <w:proofErr w:type="gramEnd"/>
      <w:r w:rsidRPr="006F3586">
        <w:rPr>
          <w:rFonts w:cs="Arial"/>
          <w:lang w:eastAsia="zh-CN"/>
        </w:rPr>
        <w:t>人</w:t>
      </w:r>
      <w:r w:rsidRPr="006F3586">
        <w:rPr>
          <w:rFonts w:cs="Arial"/>
          <w:lang w:eastAsia="zh-CN"/>
        </w:rPr>
        <w:t xml:space="preserve"> AUM</w:t>
      </w:r>
      <w:r w:rsidRPr="006F3586">
        <w:rPr>
          <w:rFonts w:cs="Arial"/>
          <w:lang w:eastAsia="zh-CN"/>
        </w:rPr>
        <w:t>。</w:t>
      </w:r>
    </w:p>
    <w:p w14:paraId="62A69078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本研究未开展管理人访谈或私有控制测试。每项证据需记录来源、生效期间、提取日期、复核人及待确认条件；策略、人员、权限或风险发生重大变化时应重新评估。</w:t>
      </w:r>
    </w:p>
    <w:p w14:paraId="2B0133AC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10 </w:t>
      </w:r>
      <w:r w:rsidRPr="006F3586">
        <w:rPr>
          <w:rFonts w:cs="Arial"/>
          <w:b w:val="0"/>
          <w:bCs w:val="0"/>
          <w:lang w:eastAsia="zh-CN"/>
        </w:rPr>
        <w:t>持续监控与异常处置</w:t>
      </w:r>
    </w:p>
    <w:p w14:paraId="682817E3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以下是监控设计方案，并非已完成的</w:t>
      </w:r>
      <w:r w:rsidRPr="006F3586">
        <w:rPr>
          <w:rFonts w:cs="Arial"/>
          <w:lang w:eastAsia="zh-CN"/>
        </w:rPr>
        <w:t xml:space="preserve"> SMA </w:t>
      </w:r>
      <w:r w:rsidRPr="006F3586">
        <w:rPr>
          <w:rFonts w:cs="Arial"/>
          <w:lang w:eastAsia="zh-CN"/>
        </w:rPr>
        <w:t>管理。公开</w:t>
      </w:r>
      <w:r w:rsidRPr="006F3586">
        <w:rPr>
          <w:rFonts w:cs="Arial"/>
          <w:lang w:eastAsia="zh-CN"/>
        </w:rPr>
        <w:t xml:space="preserve"> HLP </w:t>
      </w:r>
      <w:proofErr w:type="gramStart"/>
      <w:r w:rsidRPr="006F3586">
        <w:rPr>
          <w:rFonts w:cs="Arial"/>
          <w:lang w:eastAsia="zh-CN"/>
        </w:rPr>
        <w:t>观测仅</w:t>
      </w:r>
      <w:proofErr w:type="gramEnd"/>
      <w:r w:rsidRPr="006F3586">
        <w:rPr>
          <w:rFonts w:cs="Arial"/>
          <w:lang w:eastAsia="zh-CN"/>
        </w:rPr>
        <w:t>支持研究层面的升级处理。限额结合授权、历史分布、压力测试及误报复核校准，统计告警与已确认的硬限额违反需区分。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304"/>
        <w:gridCol w:w="7384"/>
      </w:tblGrid>
      <w:tr w:rsidR="004712C8" w:rsidRPr="006F3586" w14:paraId="63AF4E73" w14:textId="77777777">
        <w:trPr>
          <w:cantSplit/>
          <w:tblHeader/>
          <w:jc w:val="center"/>
        </w:trPr>
        <w:tc>
          <w:tcPr>
            <w:tcW w:w="2304" w:type="dxa"/>
            <w:shd w:val="clear" w:color="auto" w:fill="E8EDF0"/>
            <w:vAlign w:val="center"/>
          </w:tcPr>
          <w:p w14:paraId="65294777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类别</w:t>
            </w:r>
          </w:p>
        </w:tc>
        <w:tc>
          <w:tcPr>
            <w:tcW w:w="7384" w:type="dxa"/>
            <w:shd w:val="clear" w:color="auto" w:fill="E8EDF0"/>
            <w:vAlign w:val="center"/>
          </w:tcPr>
          <w:p w14:paraId="7BA77E90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监控指标与调查问题</w:t>
            </w:r>
          </w:p>
        </w:tc>
      </w:tr>
      <w:tr w:rsidR="004712C8" w:rsidRPr="006F3586" w14:paraId="5BAB8350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7618098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对冲与方向</w:t>
            </w:r>
          </w:p>
        </w:tc>
        <w:tc>
          <w:tcPr>
            <w:tcW w:w="7384" w:type="dxa"/>
            <w:vAlign w:val="center"/>
          </w:tcPr>
          <w:p w14:paraId="528F39DC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分标的净／总敞口及</w:t>
            </w:r>
            <w:r w:rsidRPr="006F3586">
              <w:rPr>
                <w:rFonts w:cs="Arial"/>
                <w:sz w:val="20"/>
                <w:lang w:eastAsia="zh-CN"/>
              </w:rPr>
              <w:t xml:space="preserve"> beta</w:t>
            </w:r>
            <w:r w:rsidRPr="006F3586">
              <w:rPr>
                <w:rFonts w:cs="Arial"/>
                <w:sz w:val="20"/>
                <w:lang w:eastAsia="zh-CN"/>
              </w:rPr>
              <w:t>；是否对冲失效或出现非预期方向？</w:t>
            </w:r>
          </w:p>
        </w:tc>
      </w:tr>
      <w:tr w:rsidR="004712C8" w:rsidRPr="006F3586" w14:paraId="40D1CC15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DD97E76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保证金</w:t>
            </w:r>
          </w:p>
        </w:tc>
        <w:tc>
          <w:tcPr>
            <w:tcW w:w="7384" w:type="dxa"/>
            <w:vAlign w:val="center"/>
          </w:tcPr>
          <w:p w14:paraId="7BD54C01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维持保证金余量与合格抵押；是否出现缺口或转账受阻？</w:t>
            </w:r>
          </w:p>
        </w:tc>
      </w:tr>
      <w:tr w:rsidR="004712C8" w:rsidRPr="006F3586" w14:paraId="2332EDF8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B8F1613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执行</w:t>
            </w:r>
          </w:p>
        </w:tc>
        <w:tc>
          <w:tcPr>
            <w:tcW w:w="7384" w:type="dxa"/>
            <w:vAlign w:val="center"/>
          </w:tcPr>
          <w:p w14:paraId="4B4EA594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滑点、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拒单及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未对冲时长；源于市场冲击还是系统故障？</w:t>
            </w:r>
          </w:p>
        </w:tc>
      </w:tr>
      <w:tr w:rsidR="004712C8" w:rsidRPr="006F3586" w14:paraId="2FD1B1E9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3DFF658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绩效</w:t>
            </w:r>
          </w:p>
        </w:tc>
        <w:tc>
          <w:tcPr>
            <w:tcW w:w="7384" w:type="dxa"/>
            <w:vAlign w:val="center"/>
          </w:tcPr>
          <w:p w14:paraId="71FA7119" w14:textId="77777777" w:rsidR="004712C8" w:rsidRPr="006F3586" w:rsidRDefault="00000000" w:rsidP="006F3586">
            <w:pPr>
              <w:keepNext/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回撤、损益残差与集中度；是预期损失还是风格漂移？</w:t>
            </w:r>
          </w:p>
        </w:tc>
      </w:tr>
      <w:tr w:rsidR="004712C8" w:rsidRPr="006F3586" w14:paraId="5E62638B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1AA30BCB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</w:pPr>
            <w:r w:rsidRPr="006F3586">
              <w:rPr>
                <w:rFonts w:cs="Arial"/>
                <w:sz w:val="20"/>
                <w:lang w:eastAsia="zh-CN"/>
              </w:rPr>
              <w:t>运营</w:t>
            </w:r>
          </w:p>
        </w:tc>
        <w:tc>
          <w:tcPr>
            <w:tcW w:w="7384" w:type="dxa"/>
            <w:vAlign w:val="center"/>
          </w:tcPr>
          <w:p w14:paraId="7C081D8B" w14:textId="77777777" w:rsidR="004712C8" w:rsidRPr="006F3586" w:rsidRDefault="00000000" w:rsidP="006F3586">
            <w:pPr>
              <w:suppressLineNumbers/>
              <w:suppressAutoHyphens/>
              <w:overflowPunct w:val="0"/>
              <w:spacing w:after="0" w:line="283" w:lineRule="auto"/>
              <w:rPr>
                <w:lang w:eastAsia="zh-CN"/>
              </w:rPr>
            </w:pPr>
            <w:r w:rsidRPr="006F3586">
              <w:rPr>
                <w:rFonts w:cs="Arial"/>
                <w:sz w:val="20"/>
                <w:lang w:eastAsia="zh-CN"/>
              </w:rPr>
              <w:t>数据时效、对账及人员／权限变化；是否限制风险或重</w:t>
            </w:r>
            <w:proofErr w:type="gramStart"/>
            <w:r w:rsidRPr="006F3586">
              <w:rPr>
                <w:rFonts w:cs="Arial"/>
                <w:sz w:val="20"/>
                <w:lang w:eastAsia="zh-CN"/>
              </w:rPr>
              <w:t>启尽调</w:t>
            </w:r>
            <w:proofErr w:type="gramEnd"/>
            <w:r w:rsidRPr="006F3586">
              <w:rPr>
                <w:rFonts w:cs="Arial"/>
                <w:sz w:val="20"/>
                <w:lang w:eastAsia="zh-CN"/>
              </w:rPr>
              <w:t>？</w:t>
            </w:r>
          </w:p>
        </w:tc>
      </w:tr>
    </w:tbl>
    <w:p w14:paraId="7F91A3AF" w14:textId="77777777" w:rsidR="004712C8" w:rsidRPr="006F3586" w:rsidRDefault="004712C8" w:rsidP="006F3586">
      <w:pPr>
        <w:suppressLineNumbers/>
        <w:suppressAutoHyphens/>
        <w:overflowPunct w:val="0"/>
        <w:spacing w:after="0" w:line="80" w:lineRule="exact"/>
        <w:rPr>
          <w:lang w:eastAsia="zh-CN"/>
        </w:rPr>
      </w:pPr>
    </w:p>
    <w:p w14:paraId="114168C3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模拟事件。</w:t>
      </w:r>
      <w:r w:rsidRPr="006F3586">
        <w:rPr>
          <w:rFonts w:cs="Arial"/>
          <w:lang w:eastAsia="zh-CN"/>
        </w:rPr>
        <w:t xml:space="preserve"> </w:t>
      </w:r>
      <w:proofErr w:type="gramStart"/>
      <w:r w:rsidRPr="006F3586">
        <w:rPr>
          <w:rFonts w:cs="Arial"/>
          <w:lang w:eastAsia="zh-CN"/>
        </w:rPr>
        <w:t>假设总</w:t>
      </w:r>
      <w:proofErr w:type="gramEnd"/>
      <w:r w:rsidRPr="006F3586">
        <w:rPr>
          <w:rFonts w:cs="Arial"/>
          <w:lang w:eastAsia="zh-CN"/>
        </w:rPr>
        <w:t>资本</w:t>
      </w:r>
      <w:r w:rsidRPr="006F3586">
        <w:rPr>
          <w:rFonts w:cs="Arial"/>
          <w:lang w:eastAsia="zh-CN"/>
        </w:rPr>
        <w:t xml:space="preserve"> 100 </w:t>
      </w:r>
      <w:r w:rsidRPr="006F3586">
        <w:rPr>
          <w:rFonts w:cs="Arial"/>
          <w:lang w:eastAsia="zh-CN"/>
        </w:rPr>
        <w:t>万</w:t>
      </w:r>
      <w:r w:rsidRPr="006F3586">
        <w:rPr>
          <w:rFonts w:cs="Arial"/>
          <w:lang w:eastAsia="zh-CN"/>
        </w:rPr>
        <w:t xml:space="preserve"> USDC</w:t>
      </w:r>
      <w:r w:rsidRPr="006F3586">
        <w:rPr>
          <w:rFonts w:cs="Arial"/>
          <w:lang w:eastAsia="zh-CN"/>
        </w:rPr>
        <w:t>，分标的净敞口限额为</w:t>
      </w:r>
      <w:r w:rsidRPr="006F3586">
        <w:rPr>
          <w:rFonts w:cs="Arial"/>
          <w:lang w:eastAsia="zh-CN"/>
        </w:rPr>
        <w:t xml:space="preserve"> 2%</w:t>
      </w:r>
      <w:r w:rsidRPr="006F3586">
        <w:rPr>
          <w:rFonts w:cs="Arial"/>
          <w:lang w:eastAsia="zh-CN"/>
        </w:rPr>
        <w:t>，临时超限最多持续</w:t>
      </w:r>
      <w:r w:rsidRPr="006F3586">
        <w:rPr>
          <w:rFonts w:cs="Arial"/>
          <w:lang w:eastAsia="zh-CN"/>
        </w:rPr>
        <w:t xml:space="preserve"> 60 </w:t>
      </w:r>
      <w:r w:rsidRPr="006F3586">
        <w:rPr>
          <w:rFonts w:cs="Arial"/>
          <w:lang w:eastAsia="zh-CN"/>
        </w:rPr>
        <w:t>秒。一笔</w:t>
      </w:r>
      <w:r w:rsidRPr="006F3586">
        <w:rPr>
          <w:rFonts w:cs="Arial"/>
          <w:lang w:eastAsia="zh-CN"/>
        </w:rPr>
        <w:t xml:space="preserve"> 40,000 USDC </w:t>
      </w:r>
      <w:r w:rsidRPr="006F3586">
        <w:rPr>
          <w:rFonts w:cs="Arial"/>
          <w:lang w:eastAsia="zh-CN"/>
        </w:rPr>
        <w:t>的</w:t>
      </w:r>
      <w:r w:rsidRPr="006F3586">
        <w:rPr>
          <w:rFonts w:cs="Arial"/>
          <w:lang w:eastAsia="zh-CN"/>
        </w:rPr>
        <w:t xml:space="preserve"> ETH </w:t>
      </w:r>
      <w:r w:rsidRPr="006F3586">
        <w:rPr>
          <w:rFonts w:cs="Arial"/>
          <w:lang w:eastAsia="zh-CN"/>
        </w:rPr>
        <w:t>现货成交在对</w:t>
      </w:r>
      <w:proofErr w:type="gramStart"/>
      <w:r w:rsidRPr="006F3586">
        <w:rPr>
          <w:rFonts w:cs="Arial"/>
          <w:lang w:eastAsia="zh-CN"/>
        </w:rPr>
        <w:t>冲拒单</w:t>
      </w:r>
      <w:proofErr w:type="gramEnd"/>
      <w:r w:rsidRPr="006F3586">
        <w:rPr>
          <w:rFonts w:cs="Arial"/>
          <w:lang w:eastAsia="zh-CN"/>
        </w:rPr>
        <w:t>后，持续</w:t>
      </w:r>
      <w:r w:rsidRPr="006F3586">
        <w:rPr>
          <w:rFonts w:cs="Arial"/>
          <w:lang w:eastAsia="zh-CN"/>
        </w:rPr>
        <w:t xml:space="preserve"> 90 </w:t>
      </w:r>
      <w:proofErr w:type="gramStart"/>
      <w:r w:rsidRPr="006F3586">
        <w:rPr>
          <w:rFonts w:cs="Arial"/>
          <w:lang w:eastAsia="zh-CN"/>
        </w:rPr>
        <w:t>秒未匹配</w:t>
      </w:r>
      <w:proofErr w:type="gramEnd"/>
      <w:r w:rsidRPr="006F3586">
        <w:rPr>
          <w:rFonts w:cs="Arial"/>
          <w:lang w:eastAsia="zh-CN"/>
        </w:rPr>
        <w:t>。新鲜持仓与去</w:t>
      </w:r>
      <w:proofErr w:type="gramStart"/>
      <w:r w:rsidRPr="006F3586">
        <w:rPr>
          <w:rFonts w:cs="Arial"/>
          <w:lang w:eastAsia="zh-CN"/>
        </w:rPr>
        <w:t>重成交</w:t>
      </w:r>
      <w:proofErr w:type="gramEnd"/>
      <w:r w:rsidRPr="006F3586">
        <w:rPr>
          <w:rFonts w:cs="Arial"/>
          <w:lang w:eastAsia="zh-CN"/>
        </w:rPr>
        <w:t>确认敞口为</w:t>
      </w:r>
      <w:r w:rsidRPr="006F3586">
        <w:rPr>
          <w:rFonts w:cs="Arial"/>
          <w:lang w:eastAsia="zh-CN"/>
        </w:rPr>
        <w:t xml:space="preserve"> 4%</w:t>
      </w:r>
      <w:r w:rsidRPr="006F3586">
        <w:rPr>
          <w:rFonts w:cs="Arial"/>
          <w:lang w:eastAsia="zh-CN"/>
        </w:rPr>
        <w:t>；假设日志提示</w:t>
      </w:r>
      <w:r w:rsidRPr="006F3586">
        <w:rPr>
          <w:rFonts w:cs="Arial"/>
          <w:lang w:eastAsia="zh-CN"/>
        </w:rPr>
        <w:t xml:space="preserve"> nonce </w:t>
      </w:r>
      <w:r w:rsidRPr="006F3586">
        <w:rPr>
          <w:rFonts w:cs="Arial"/>
          <w:lang w:eastAsia="zh-CN"/>
        </w:rPr>
        <w:t>冲突。应要求执行方确认共用签名者、受影响账户及失效保护。</w:t>
      </w:r>
      <w:r w:rsidRPr="006F3586">
        <w:rPr>
          <w:rFonts w:cs="Arial"/>
          <w:lang w:eastAsia="zh-CN"/>
        </w:rPr>
        <w:t>[14]</w:t>
      </w:r>
    </w:p>
    <w:p w14:paraId="155CC1CE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暂停新入场，核对未完成订单，</w:t>
      </w:r>
      <w:proofErr w:type="gramStart"/>
      <w:r w:rsidRPr="006F3586">
        <w:rPr>
          <w:rFonts w:cs="Arial"/>
          <w:lang w:eastAsia="zh-CN"/>
        </w:rPr>
        <w:t>再通过获授权</w:t>
      </w:r>
      <w:proofErr w:type="gramEnd"/>
      <w:r w:rsidRPr="006F3586">
        <w:rPr>
          <w:rFonts w:cs="Arial"/>
          <w:lang w:eastAsia="zh-CN"/>
        </w:rPr>
        <w:t>路径补充对冲，或在执行</w:t>
      </w:r>
      <w:proofErr w:type="gramStart"/>
      <w:r w:rsidRPr="006F3586">
        <w:rPr>
          <w:rFonts w:cs="Arial"/>
          <w:lang w:eastAsia="zh-CN"/>
        </w:rPr>
        <w:t>限额内减持</w:t>
      </w:r>
      <w:proofErr w:type="gramEnd"/>
      <w:r w:rsidRPr="006F3586">
        <w:rPr>
          <w:rFonts w:cs="Arial"/>
          <w:lang w:eastAsia="zh-CN"/>
        </w:rPr>
        <w:t>现货。研究员记录调查；重大或未解决风险升级</w:t>
      </w:r>
      <w:proofErr w:type="gramStart"/>
      <w:r w:rsidRPr="006F3586">
        <w:rPr>
          <w:rFonts w:cs="Arial"/>
          <w:lang w:eastAsia="zh-CN"/>
        </w:rPr>
        <w:t>至风险</w:t>
      </w:r>
      <w:proofErr w:type="gramEnd"/>
      <w:r w:rsidRPr="006F3586">
        <w:rPr>
          <w:rFonts w:cs="Arial"/>
          <w:lang w:eastAsia="zh-CN"/>
        </w:rPr>
        <w:t>负责人及研究主管。关闭事件需要持仓对账、限额恢复、修复测试通过及</w:t>
      </w:r>
      <w:proofErr w:type="gramStart"/>
      <w:r w:rsidRPr="006F3586">
        <w:rPr>
          <w:rFonts w:cs="Arial"/>
          <w:lang w:eastAsia="zh-CN"/>
        </w:rPr>
        <w:t>独立重</w:t>
      </w:r>
      <w:proofErr w:type="gramEnd"/>
      <w:r w:rsidRPr="006F3586">
        <w:rPr>
          <w:rFonts w:cs="Arial"/>
          <w:lang w:eastAsia="zh-CN"/>
        </w:rPr>
        <w:t>启批准。所有阈值均为示例。</w:t>
      </w:r>
    </w:p>
    <w:p w14:paraId="2283C1D2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每日核对余额、资金流、费用、资金费及损益；每周复核策略偏离、限额与事故；每月更新研究对象范围，包括关闭状态、可见资产、独立核实的</w:t>
      </w:r>
      <w:r w:rsidRPr="006F3586">
        <w:rPr>
          <w:rFonts w:cs="Arial"/>
          <w:lang w:eastAsia="zh-CN"/>
        </w:rPr>
        <w:t xml:space="preserve"> AUM</w:t>
      </w:r>
      <w:r w:rsidRPr="006F3586">
        <w:rPr>
          <w:rFonts w:cs="Arial"/>
          <w:lang w:eastAsia="zh-CN"/>
        </w:rPr>
        <w:t>、人员及授权。重大事件即时升级。每项行动均需责任人、期限与关闭证据，缺失数据维持未知状态。</w:t>
      </w:r>
    </w:p>
    <w:p w14:paraId="33AF61CB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 xml:space="preserve">11 </w:t>
      </w:r>
      <w:r w:rsidRPr="006F3586">
        <w:rPr>
          <w:rFonts w:cs="Arial"/>
          <w:b w:val="0"/>
          <w:bCs w:val="0"/>
          <w:lang w:eastAsia="zh-CN"/>
        </w:rPr>
        <w:t>投资观点与判断失效条件</w:t>
      </w:r>
    </w:p>
    <w:p w14:paraId="6A476DAE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proofErr w:type="gramStart"/>
      <w:r w:rsidRPr="006F3586">
        <w:rPr>
          <w:rFonts w:cs="Arial"/>
          <w:lang w:eastAsia="zh-CN"/>
        </w:rPr>
        <w:t>被动资金</w:t>
      </w:r>
      <w:proofErr w:type="gramEnd"/>
      <w:r w:rsidRPr="006F3586">
        <w:rPr>
          <w:rFonts w:cs="Arial"/>
          <w:lang w:eastAsia="zh-CN"/>
        </w:rPr>
        <w:t>费率策略进入执行验证。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资金费多数时间为正、换手较低，支持继续研究收益机制。配置之前须取得同步报价与成交、分时点费率、已核验的资金费估值、代币赎回审查及联合保证金／退出测试。持续</w:t>
      </w:r>
      <w:proofErr w:type="gramStart"/>
      <w:r w:rsidRPr="006F3586">
        <w:rPr>
          <w:rFonts w:cs="Arial"/>
          <w:lang w:eastAsia="zh-CN"/>
        </w:rPr>
        <w:t>负资金</w:t>
      </w:r>
      <w:proofErr w:type="gramEnd"/>
      <w:r w:rsidRPr="006F3586">
        <w:rPr>
          <w:rFonts w:cs="Arial"/>
          <w:lang w:eastAsia="zh-CN"/>
        </w:rPr>
        <w:t>费、</w:t>
      </w:r>
      <w:proofErr w:type="gramStart"/>
      <w:r w:rsidRPr="006F3586">
        <w:rPr>
          <w:rFonts w:cs="Arial"/>
          <w:lang w:eastAsia="zh-CN"/>
        </w:rPr>
        <w:t>不利基差</w:t>
      </w:r>
      <w:proofErr w:type="gramEnd"/>
      <w:r w:rsidRPr="006F3586">
        <w:rPr>
          <w:rFonts w:cs="Arial"/>
          <w:lang w:eastAsia="zh-CN"/>
        </w:rPr>
        <w:t>或使回报低于门槛的全部成本都会削弱判断。目前仍未满足示例性容量条件。</w:t>
      </w:r>
    </w:p>
    <w:p w14:paraId="51478A3F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当前规则版本保留观察。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高成本、短持仓期及多组参数下的亏损，与预期的</w:t>
      </w:r>
      <w:r w:rsidRPr="006F3586">
        <w:rPr>
          <w:rFonts w:cs="Arial"/>
          <w:lang w:eastAsia="zh-CN"/>
        </w:rPr>
        <w:t xml:space="preserve"> 30 </w:t>
      </w:r>
      <w:r w:rsidRPr="006F3586">
        <w:rPr>
          <w:rFonts w:cs="Arial"/>
          <w:lang w:eastAsia="zh-CN"/>
        </w:rPr>
        <w:t>日回本逻辑矛盾。重新考虑需预先锁定修订规则，并使用真正新增的验证数据。事后删除高成本筛选条件不足以改变判断。</w:t>
      </w:r>
    </w:p>
    <w:p w14:paraId="408F6B27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HLP </w:t>
      </w:r>
      <w:r w:rsidRPr="006F3586">
        <w:rPr>
          <w:rFonts w:cs="Arial"/>
          <w:lang w:eastAsia="zh-CN"/>
        </w:rPr>
        <w:t>进入协议尽调。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经对账的</w:t>
      </w:r>
      <w:proofErr w:type="gramStart"/>
      <w:r w:rsidRPr="006F3586">
        <w:rPr>
          <w:rFonts w:cs="Arial"/>
          <w:lang w:eastAsia="zh-CN"/>
        </w:rPr>
        <w:t>正利润</w:t>
      </w:r>
      <w:proofErr w:type="gramEnd"/>
      <w:r w:rsidRPr="006F3586">
        <w:rPr>
          <w:rFonts w:cs="Arial"/>
          <w:lang w:eastAsia="zh-CN"/>
        </w:rPr>
        <w:t>支持进一步研究，但两个区间的收益集中及稀疏估值阻止了持续性判断。需补齐高频估值、历史持仓、机制生效日期、交易归因及赎回／控制证据。如果可归因收益重复出现，</w:t>
      </w:r>
      <w:proofErr w:type="gramStart"/>
      <w:r w:rsidRPr="006F3586">
        <w:rPr>
          <w:rFonts w:cs="Arial"/>
          <w:lang w:eastAsia="zh-CN"/>
        </w:rPr>
        <w:t>且压力</w:t>
      </w:r>
      <w:proofErr w:type="gramEnd"/>
      <w:r w:rsidRPr="006F3586">
        <w:rPr>
          <w:rFonts w:cs="Arial"/>
          <w:lang w:eastAsia="zh-CN"/>
        </w:rPr>
        <w:t>损失与流动性满足要求，将加强判断；若依赖特殊收入、隐蔽库存风险或受损提款能力，则削弱判断。</w:t>
      </w:r>
    </w:p>
    <w:p w14:paraId="590E8FF5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普通金库仍属证据不足。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选择之前必须具备可比的现金</w:t>
      </w:r>
      <w:proofErr w:type="gramStart"/>
      <w:r w:rsidRPr="006F3586">
        <w:rPr>
          <w:rFonts w:cs="Arial"/>
          <w:lang w:eastAsia="zh-CN"/>
        </w:rPr>
        <w:t>流调整</w:t>
      </w:r>
      <w:proofErr w:type="gramEnd"/>
      <w:r w:rsidRPr="006F3586">
        <w:rPr>
          <w:rFonts w:cs="Arial"/>
          <w:lang w:eastAsia="zh-CN"/>
        </w:rPr>
        <w:t>业绩、完整账户、链外对冲及管理人控制证据。关闭标签本身既不能证明表现差，也不能证明违规。</w:t>
      </w:r>
    </w:p>
    <w:p w14:paraId="1EB58D36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 xml:space="preserve">HIP-3 </w:t>
      </w:r>
      <w:r w:rsidRPr="006F3586">
        <w:rPr>
          <w:rFonts w:cs="Arial"/>
          <w:lang w:eastAsia="zh-CN"/>
        </w:rPr>
        <w:t>保留为条件性研究。</w:t>
      </w:r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估计收益之前，须核实合约匹配、券商权限、融券、同步可执行价格，并预置足以覆盖压力的抵押。参考标的不匹配或无法维持对冲，将使表面套利失效。</w:t>
      </w:r>
    </w:p>
    <w:p w14:paraId="35F716FA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lang w:eastAsia="zh-CN"/>
        </w:rPr>
        <w:t>现有对齐观测尚不足以确定策略间正常／压力相关性。共同的</w:t>
      </w:r>
      <w:r w:rsidRPr="006F3586">
        <w:rPr>
          <w:rFonts w:cs="Arial"/>
          <w:lang w:eastAsia="zh-CN"/>
        </w:rPr>
        <w:t xml:space="preserve"> </w:t>
      </w:r>
      <w:proofErr w:type="spellStart"/>
      <w:r w:rsidRPr="006F3586">
        <w:rPr>
          <w:rFonts w:cs="Arial"/>
          <w:lang w:eastAsia="zh-CN"/>
        </w:rPr>
        <w:t>Hyperliquid</w:t>
      </w:r>
      <w:proofErr w:type="spellEnd"/>
      <w:r w:rsidRPr="006F3586">
        <w:rPr>
          <w:rFonts w:cs="Arial"/>
          <w:lang w:eastAsia="zh-CN"/>
        </w:rPr>
        <w:t xml:space="preserve"> </w:t>
      </w:r>
      <w:r w:rsidRPr="006F3586">
        <w:rPr>
          <w:rFonts w:cs="Arial"/>
          <w:lang w:eastAsia="zh-CN"/>
        </w:rPr>
        <w:t>结算、抵押与流动性依赖仍是组合约束。尚无研究对象达到证据完整的配置标准。</w:t>
      </w:r>
    </w:p>
    <w:p w14:paraId="63393DCC" w14:textId="77777777" w:rsidR="004712C8" w:rsidRPr="006F3586" w:rsidRDefault="00000000" w:rsidP="006F3586">
      <w:pPr>
        <w:pStyle w:val="1"/>
        <w:pageBreakBefore/>
        <w:suppressLineNumbers/>
        <w:suppressAutoHyphens/>
        <w:overflowPunct w:val="0"/>
        <w:rPr>
          <w:b w:val="0"/>
          <w:bCs w:val="0"/>
          <w:lang w:eastAsia="zh-CN"/>
        </w:rPr>
      </w:pPr>
      <w:r w:rsidRPr="006F3586">
        <w:rPr>
          <w:rFonts w:cs="Arial"/>
          <w:b w:val="0"/>
          <w:bCs w:val="0"/>
          <w:lang w:eastAsia="zh-CN"/>
        </w:rPr>
        <w:lastRenderedPageBreak/>
        <w:t>资料来源</w:t>
      </w:r>
    </w:p>
    <w:p w14:paraId="2604B82B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sz w:val="19"/>
          <w:lang w:eastAsia="zh-CN"/>
        </w:rPr>
        <w:t>图表结合官方观测、明确标注的模型与日历重建。下列链接支持机制说明与研究背景。未核实生效日期的规则不倒推适用。文档交叉核验完成于</w:t>
      </w:r>
      <w:r w:rsidRPr="006F3586">
        <w:rPr>
          <w:rFonts w:cs="Arial"/>
          <w:sz w:val="19"/>
          <w:lang w:eastAsia="zh-CN"/>
        </w:rPr>
        <w:t xml:space="preserve"> 2026 </w:t>
      </w:r>
      <w:r w:rsidRPr="006F3586">
        <w:rPr>
          <w:rFonts w:cs="Arial"/>
          <w:sz w:val="19"/>
          <w:lang w:eastAsia="zh-CN"/>
        </w:rPr>
        <w:t>年</w:t>
      </w:r>
      <w:r w:rsidRPr="006F3586">
        <w:rPr>
          <w:rFonts w:cs="Arial"/>
          <w:sz w:val="19"/>
          <w:lang w:eastAsia="zh-CN"/>
        </w:rPr>
        <w:t xml:space="preserve"> 9 </w:t>
      </w:r>
      <w:r w:rsidRPr="006F3586">
        <w:rPr>
          <w:rFonts w:cs="Arial"/>
          <w:sz w:val="19"/>
          <w:lang w:eastAsia="zh-CN"/>
        </w:rPr>
        <w:t>月</w:t>
      </w:r>
      <w:r w:rsidRPr="006F3586">
        <w:rPr>
          <w:rFonts w:cs="Arial"/>
          <w:sz w:val="19"/>
          <w:lang w:eastAsia="zh-CN"/>
        </w:rPr>
        <w:t xml:space="preserve"> 16 </w:t>
      </w:r>
      <w:r w:rsidRPr="006F3586">
        <w:rPr>
          <w:rFonts w:cs="Arial"/>
          <w:sz w:val="19"/>
          <w:lang w:eastAsia="zh-CN"/>
        </w:rPr>
        <w:t>日。</w:t>
      </w:r>
    </w:p>
    <w:p w14:paraId="1E1A032B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[1] </w:t>
      </w:r>
      <w:hyperlink r:id="rId21">
        <w:r w:rsidRPr="006F3586">
          <w:rPr>
            <w:color w:val="1B526B"/>
            <w:u w:val="single"/>
          </w:rPr>
          <w:t>Hyperliquid Info API</w:t>
        </w:r>
      </w:hyperlink>
    </w:p>
    <w:p w14:paraId="66F84F47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[2] </w:t>
      </w:r>
      <w:hyperlink r:id="rId22">
        <w:r w:rsidRPr="006F3586">
          <w:rPr>
            <w:color w:val="1B526B"/>
            <w:u w:val="single"/>
          </w:rPr>
          <w:t xml:space="preserve">Hyperliquid </w:t>
        </w:r>
        <w:r w:rsidRPr="006F3586">
          <w:rPr>
            <w:color w:val="1B526B"/>
            <w:u w:val="single"/>
          </w:rPr>
          <w:t>资金费机制</w:t>
        </w:r>
      </w:hyperlink>
    </w:p>
    <w:p w14:paraId="5F063BA5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[3] </w:t>
      </w:r>
      <w:hyperlink r:id="rId23">
        <w:r w:rsidRPr="006F3586">
          <w:rPr>
            <w:color w:val="1B526B"/>
            <w:u w:val="single"/>
          </w:rPr>
          <w:t xml:space="preserve">Hyperliquid </w:t>
        </w:r>
        <w:r w:rsidRPr="006F3586">
          <w:rPr>
            <w:color w:val="1B526B"/>
            <w:u w:val="single"/>
          </w:rPr>
          <w:t>费用</w:t>
        </w:r>
      </w:hyperlink>
    </w:p>
    <w:p w14:paraId="0D2B1584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[4] </w:t>
      </w:r>
      <w:hyperlink r:id="rId24">
        <w:r w:rsidRPr="006F3586">
          <w:rPr>
            <w:color w:val="1B526B"/>
            <w:u w:val="single"/>
          </w:rPr>
          <w:t xml:space="preserve">Hyperliquid </w:t>
        </w:r>
        <w:r w:rsidRPr="006F3586">
          <w:rPr>
            <w:color w:val="1B526B"/>
            <w:u w:val="single"/>
          </w:rPr>
          <w:t>协议金库</w:t>
        </w:r>
      </w:hyperlink>
    </w:p>
    <w:p w14:paraId="48E523FF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[5] </w:t>
      </w:r>
      <w:hyperlink r:id="rId25">
        <w:r w:rsidRPr="006F3586">
          <w:rPr>
            <w:color w:val="1B526B"/>
            <w:u w:val="single"/>
          </w:rPr>
          <w:t xml:space="preserve">Hyperliquid </w:t>
        </w:r>
        <w:r w:rsidRPr="006F3586">
          <w:rPr>
            <w:color w:val="1B526B"/>
            <w:u w:val="single"/>
          </w:rPr>
          <w:t>账户图表口径</w:t>
        </w:r>
      </w:hyperlink>
    </w:p>
    <w:p w14:paraId="19A2CC93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[6] </w:t>
      </w:r>
      <w:hyperlink r:id="rId26">
        <w:r w:rsidRPr="006F3586">
          <w:rPr>
            <w:color w:val="1B526B"/>
            <w:u w:val="single"/>
          </w:rPr>
          <w:t xml:space="preserve">Hyperliquid </w:t>
        </w:r>
        <w:r w:rsidRPr="006F3586">
          <w:rPr>
            <w:color w:val="1B526B"/>
            <w:u w:val="single"/>
          </w:rPr>
          <w:t>保证金机制</w:t>
        </w:r>
      </w:hyperlink>
    </w:p>
    <w:p w14:paraId="158EDC33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[7] </w:t>
      </w:r>
      <w:hyperlink r:id="rId27">
        <w:r w:rsidRPr="006F3586">
          <w:rPr>
            <w:color w:val="1B526B"/>
            <w:u w:val="single"/>
          </w:rPr>
          <w:t xml:space="preserve">Hyperliquid </w:t>
        </w:r>
        <w:r w:rsidRPr="006F3586">
          <w:rPr>
            <w:color w:val="1B526B"/>
            <w:u w:val="single"/>
          </w:rPr>
          <w:t>优先级费用</w:t>
        </w:r>
      </w:hyperlink>
    </w:p>
    <w:p w14:paraId="24A25E3B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[8] </w:t>
      </w:r>
      <w:hyperlink r:id="rId28">
        <w:r w:rsidRPr="006F3586">
          <w:rPr>
            <w:color w:val="1B526B"/>
            <w:u w:val="single"/>
          </w:rPr>
          <w:t xml:space="preserve">Hyperliquid </w:t>
        </w:r>
        <w:r w:rsidRPr="006F3586">
          <w:rPr>
            <w:color w:val="1B526B"/>
            <w:u w:val="single"/>
          </w:rPr>
          <w:t>自动减仓</w:t>
        </w:r>
      </w:hyperlink>
    </w:p>
    <w:p w14:paraId="0405BEC6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[9] </w:t>
      </w:r>
      <w:hyperlink r:id="rId29">
        <w:r w:rsidRPr="006F3586">
          <w:rPr>
            <w:color w:val="1B526B"/>
            <w:u w:val="single"/>
          </w:rPr>
          <w:t xml:space="preserve">Unit </w:t>
        </w:r>
        <w:r w:rsidRPr="006F3586">
          <w:rPr>
            <w:color w:val="1B526B"/>
            <w:u w:val="single"/>
          </w:rPr>
          <w:t>官方文档</w:t>
        </w:r>
      </w:hyperlink>
    </w:p>
    <w:p w14:paraId="6B747464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[10] </w:t>
      </w:r>
      <w:hyperlink r:id="rId30">
        <w:r w:rsidRPr="006F3586">
          <w:rPr>
            <w:color w:val="1B526B"/>
            <w:u w:val="single"/>
          </w:rPr>
          <w:t xml:space="preserve">Messari Hyperliquid </w:t>
        </w:r>
        <w:r w:rsidRPr="006F3586">
          <w:rPr>
            <w:color w:val="1B526B"/>
            <w:u w:val="single"/>
          </w:rPr>
          <w:t>周末市场价格发现研究</w:t>
        </w:r>
      </w:hyperlink>
    </w:p>
    <w:p w14:paraId="6DA1FE96" w14:textId="77777777" w:rsidR="004712C8" w:rsidRPr="006F3586" w:rsidRDefault="00000000" w:rsidP="006F3586">
      <w:pPr>
        <w:suppressLineNumbers/>
        <w:suppressAutoHyphens/>
        <w:overflowPunct w:val="0"/>
        <w:rPr>
          <w:lang w:eastAsia="zh-CN"/>
        </w:rPr>
      </w:pPr>
      <w:r w:rsidRPr="006F3586">
        <w:rPr>
          <w:rFonts w:cs="Arial"/>
          <w:sz w:val="19"/>
          <w:lang w:eastAsia="zh-CN"/>
        </w:rPr>
        <w:t xml:space="preserve">[11] </w:t>
      </w:r>
      <w:hyperlink r:id="rId31">
        <w:r w:rsidRPr="006F3586">
          <w:rPr>
            <w:color w:val="1B526B"/>
            <w:u w:val="single"/>
            <w:lang w:eastAsia="zh-CN"/>
          </w:rPr>
          <w:t xml:space="preserve">CME </w:t>
        </w:r>
        <w:r w:rsidRPr="006F3586">
          <w:rPr>
            <w:color w:val="1B526B"/>
            <w:u w:val="single"/>
            <w:lang w:eastAsia="zh-CN"/>
          </w:rPr>
          <w:t>微型黄金合约规则</w:t>
        </w:r>
      </w:hyperlink>
    </w:p>
    <w:p w14:paraId="7AB0ADCF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[12] </w:t>
      </w:r>
      <w:hyperlink r:id="rId32">
        <w:r w:rsidRPr="006F3586">
          <w:rPr>
            <w:color w:val="1B526B"/>
            <w:u w:val="single"/>
          </w:rPr>
          <w:t xml:space="preserve">Hyperliquid HIP-3 </w:t>
        </w:r>
        <w:r w:rsidRPr="006F3586">
          <w:rPr>
            <w:color w:val="1B526B"/>
            <w:u w:val="single"/>
          </w:rPr>
          <w:t>框架</w:t>
        </w:r>
      </w:hyperlink>
    </w:p>
    <w:p w14:paraId="6708DF00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[13] </w:t>
      </w:r>
      <w:hyperlink r:id="rId33">
        <w:r w:rsidRPr="006F3586">
          <w:rPr>
            <w:color w:val="1B526B"/>
            <w:u w:val="single"/>
          </w:rPr>
          <w:t xml:space="preserve">Nasdaq </w:t>
        </w:r>
        <w:r w:rsidRPr="006F3586">
          <w:rPr>
            <w:color w:val="1B526B"/>
            <w:u w:val="single"/>
          </w:rPr>
          <w:t>交易日历与时段</w:t>
        </w:r>
      </w:hyperlink>
    </w:p>
    <w:p w14:paraId="5A5FE621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[14] </w:t>
      </w:r>
      <w:hyperlink r:id="rId34">
        <w:r w:rsidRPr="006F3586">
          <w:rPr>
            <w:color w:val="1B526B"/>
            <w:u w:val="single"/>
          </w:rPr>
          <w:t xml:space="preserve">Hyperliquid nonce </w:t>
        </w:r>
        <w:r w:rsidRPr="006F3586">
          <w:rPr>
            <w:color w:val="1B526B"/>
            <w:u w:val="single"/>
          </w:rPr>
          <w:t>与</w:t>
        </w:r>
        <w:r w:rsidRPr="006F3586">
          <w:rPr>
            <w:color w:val="1B526B"/>
            <w:u w:val="single"/>
          </w:rPr>
          <w:t xml:space="preserve"> API </w:t>
        </w:r>
        <w:r w:rsidRPr="006F3586">
          <w:rPr>
            <w:color w:val="1B526B"/>
            <w:u w:val="single"/>
          </w:rPr>
          <w:t>钱包</w:t>
        </w:r>
      </w:hyperlink>
    </w:p>
    <w:p w14:paraId="2C0C65BE" w14:textId="77777777" w:rsidR="004712C8" w:rsidRPr="006F3586" w:rsidRDefault="00000000" w:rsidP="006F3586">
      <w:pPr>
        <w:suppressLineNumbers/>
        <w:suppressAutoHyphens/>
        <w:overflowPunct w:val="0"/>
      </w:pPr>
      <w:r w:rsidRPr="006F3586">
        <w:rPr>
          <w:rFonts w:cs="Arial"/>
          <w:sz w:val="19"/>
          <w:lang w:eastAsia="zh-CN"/>
        </w:rPr>
        <w:t xml:space="preserve">[15] </w:t>
      </w:r>
      <w:hyperlink r:id="rId35">
        <w:r w:rsidRPr="006F3586">
          <w:rPr>
            <w:color w:val="1B526B"/>
            <w:u w:val="single"/>
          </w:rPr>
          <w:t xml:space="preserve">GIPS </w:t>
        </w:r>
        <w:r w:rsidRPr="006F3586">
          <w:rPr>
            <w:color w:val="1B526B"/>
            <w:u w:val="single"/>
          </w:rPr>
          <w:t>收益计算方法指引</w:t>
        </w:r>
      </w:hyperlink>
    </w:p>
    <w:sectPr w:rsidR="004712C8" w:rsidRPr="006F3586" w:rsidSect="00034616">
      <w:footerReference w:type="default" r:id="rId36"/>
      <w:pgSz w:w="11905" w:h="16838"/>
      <w:pgMar w:top="1037" w:right="1109" w:bottom="1008" w:left="1109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B40AA" w14:textId="77777777" w:rsidR="007B3D07" w:rsidRDefault="007B3D07">
      <w:pPr>
        <w:spacing w:after="0" w:line="240" w:lineRule="auto"/>
      </w:pPr>
      <w:r>
        <w:separator/>
      </w:r>
    </w:p>
  </w:endnote>
  <w:endnote w:type="continuationSeparator" w:id="0">
    <w:p w14:paraId="17EC39DC" w14:textId="77777777" w:rsidR="007B3D07" w:rsidRDefault="007B3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529E3" w14:textId="77777777" w:rsidR="004712C8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40C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C1457" w14:textId="77777777" w:rsidR="007B3D07" w:rsidRDefault="007B3D07">
      <w:pPr>
        <w:spacing w:after="0" w:line="240" w:lineRule="auto"/>
      </w:pPr>
      <w:r>
        <w:separator/>
      </w:r>
    </w:p>
  </w:footnote>
  <w:footnote w:type="continuationSeparator" w:id="0">
    <w:p w14:paraId="252A5DC9" w14:textId="77777777" w:rsidR="007B3D07" w:rsidRDefault="007B3D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196365">
    <w:abstractNumId w:val="8"/>
  </w:num>
  <w:num w:numId="2" w16cid:durableId="122895196">
    <w:abstractNumId w:val="6"/>
  </w:num>
  <w:num w:numId="3" w16cid:durableId="997805868">
    <w:abstractNumId w:val="5"/>
  </w:num>
  <w:num w:numId="4" w16cid:durableId="2021812392">
    <w:abstractNumId w:val="4"/>
  </w:num>
  <w:num w:numId="5" w16cid:durableId="1828666561">
    <w:abstractNumId w:val="7"/>
  </w:num>
  <w:num w:numId="6" w16cid:durableId="2041010192">
    <w:abstractNumId w:val="3"/>
  </w:num>
  <w:num w:numId="7" w16cid:durableId="1626620757">
    <w:abstractNumId w:val="2"/>
  </w:num>
  <w:num w:numId="8" w16cid:durableId="1426730282">
    <w:abstractNumId w:val="1"/>
  </w:num>
  <w:num w:numId="9" w16cid:durableId="157686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697"/>
    <w:rsid w:val="000D5C6F"/>
    <w:rsid w:val="0015074B"/>
    <w:rsid w:val="00276547"/>
    <w:rsid w:val="00281B55"/>
    <w:rsid w:val="0029639D"/>
    <w:rsid w:val="00326F90"/>
    <w:rsid w:val="004712C8"/>
    <w:rsid w:val="006F3586"/>
    <w:rsid w:val="007B3D07"/>
    <w:rsid w:val="00AA1D8D"/>
    <w:rsid w:val="00B40CDD"/>
    <w:rsid w:val="00B47730"/>
    <w:rsid w:val="00CB0664"/>
    <w:rsid w:val="00FC0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532E1"/>
  <w14:defaultImageDpi w14:val="300"/>
  <w15:docId w15:val="{55ED0E4D-F28E-44A1-AFFB-D17ACD36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 w:line="298" w:lineRule="auto"/>
    </w:pPr>
    <w:rPr>
      <w:rFonts w:ascii="Arial" w:eastAsia="Droid Sans Fallback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spacing w:before="300" w:after="160" w:line="254" w:lineRule="auto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spacing w:before="180" w:after="100" w:line="254" w:lineRule="auto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spacing w:before="200"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Arial" w:eastAsia="Droid Sans Fallback" w:hAnsi="Arial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Arial" w:eastAsia="Droid Sans Fallback" w:hAnsi="Arial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Arial" w:eastAsia="Droid Sans Fallback" w:hAnsi="Arial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Arial" w:eastAsia="Droid Sans Fallback" w:hAnsi="Arial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Arial" w:eastAsia="Droid Sans Fallback" w:hAnsi="Arial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Arial" w:eastAsia="Droid Sans Fallback" w:hAnsi="Arial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80" w:line="254" w:lineRule="auto"/>
      <w:contextualSpacing/>
    </w:pPr>
    <w:rPr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Arial" w:eastAsia="Droid Sans Fallback" w:hAnsi="Arial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 w:line="254" w:lineRule="auto"/>
    </w:pPr>
    <w:rPr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Arial" w:eastAsia="Droid Sans Fallback" w:hAnsi="Arial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Arial" w:eastAsia="Droid Sans Fallback" w:hAnsi="Arial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Arial" w:eastAsia="Droid Sans Fallback" w:hAnsi="Arial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Arial" w:eastAsia="Droid Sans Fallback" w:hAnsi="Arial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Droid Sans Fallback" w:hAnsi="Arial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Arial" w:eastAsia="Droid Sans Fallback" w:hAnsi="Arial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Arial" w:eastAsia="Droid Sans Fallback" w:hAnsi="Arial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Arial" w:eastAsia="Droid Sans Fallback" w:hAnsi="Arial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Arial" w:eastAsia="Droid Sans Fallback" w:hAnsi="Arial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Arial" w:eastAsia="Droid Sans Fallback" w:hAnsi="Arial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Arial" w:eastAsia="Droid Sans Fallback" w:hAnsi="Arial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Arial" w:eastAsia="Droid Sans Fallback" w:hAnsi="Arial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Arial" w:eastAsia="Droid Sans Fallback" w:hAnsi="Arial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80" w:line="259" w:lineRule="auto"/>
    </w:pPr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rFonts w:ascii="Arial" w:eastAsia="Droid Sans Fallback" w:hAnsi="Arial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Arial" w:eastAsia="Droid Sans Fallback" w:hAnsi="Arial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Arial" w:eastAsia="Droid Sans Fallback" w:hAnsi="Arial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Arial" w:eastAsia="Droid Sans Fallback" w:hAnsi="Arial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Arial" w:eastAsia="Droid Sans Fallback" w:hAnsi="Arial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Arial" w:eastAsia="Droid Sans Fallback" w:hAnsi="Arial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Arial" w:eastAsia="Droid Sans Fallback" w:hAnsi="Arial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Arial" w:eastAsia="Droid Sans Fallback" w:hAnsi="Arial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hyperliquid.gitbook.io/hyperliquid-docs/trading/margining" TargetMode="External"/><Relationship Id="rId21" Type="http://schemas.openxmlformats.org/officeDocument/2006/relationships/hyperlink" Target="https://hyperliquid.gitbook.io/hyperliquid-docs/for-developers/api/info-endpoint" TargetMode="External"/><Relationship Id="rId34" Type="http://schemas.openxmlformats.org/officeDocument/2006/relationships/hyperlink" Target="https://hyperliquid.gitbook.io/hyperliquid-docs/for-developers/api/nonces-and-api-wallet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yperliquid.gitbook.io/hyperliquid-docs/trading/portfolio-graphs" TargetMode="External"/><Relationship Id="rId33" Type="http://schemas.openxmlformats.org/officeDocument/2006/relationships/hyperlink" Target="https://www.nasdaqtrader.com/Trader.aspx?id=Calendar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docs.hyperunit.xyz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yperliquid.gitbook.io/hyperliquid-docs/hypercore/vaults/protocol-vaults" TargetMode="External"/><Relationship Id="rId32" Type="http://schemas.openxmlformats.org/officeDocument/2006/relationships/hyperlink" Target="https://hyperliquid.gitbook.io/hyperliquid-docs/hyperliquid-improvement-proposals-hips/hip-3-builder-deployed-perpetuals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hyperliquid.gitbook.io/hyperliquid-docs/trading/fees" TargetMode="External"/><Relationship Id="rId28" Type="http://schemas.openxmlformats.org/officeDocument/2006/relationships/hyperlink" Target="https://hyperliquid.gitbook.io/hyperliquid-docs/trading/auto-deleveraging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cmegroup.com/markets/metals/precious/e-micro-gold.contractSpec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hyperliquid.gitbook.io/hyperliquid-docs/trading/funding" TargetMode="External"/><Relationship Id="rId27" Type="http://schemas.openxmlformats.org/officeDocument/2006/relationships/hyperlink" Target="https://hyperliquid.gitbook.io/hyperliquid-docs/for-developers/api/priority-fees" TargetMode="External"/><Relationship Id="rId30" Type="http://schemas.openxmlformats.org/officeDocument/2006/relationships/hyperlink" Target="https://messari.io/report/weekend-trading-evidence-of-price-discovery-in-hyperliquid-s-weekend-markets" TargetMode="External"/><Relationship Id="rId35" Type="http://schemas.openxmlformats.org/officeDocument/2006/relationships/hyperlink" Target="https://www.gipsstandards.org/wp-content/uploads/2021/03/calculation_methodology_gs_2011.pdf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18</Pages>
  <Words>1484</Words>
  <Characters>9559</Characters>
  <Application>Microsoft Office Word</Application>
  <DocSecurity>0</DocSecurity>
  <Lines>187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Hyperliquid 策略研究与配置尽调</dc:title>
  <dc:subject>Funding carry, HLP, execution capacity and manager due diligence</dc:subject>
  <dc:creator/>
  <cp:keywords>Hyperliquid, funding carry, HLP, capacity, due diligence</cp:keywords>
  <dc:description>generated by python-docx</dc:description>
  <cp:lastModifiedBy>彭 星宇</cp:lastModifiedBy>
  <cp:revision>6</cp:revision>
  <dcterms:created xsi:type="dcterms:W3CDTF">2013-12-23T23:15:00Z</dcterms:created>
  <dcterms:modified xsi:type="dcterms:W3CDTF">2026-09-16T15:48:00Z</dcterms:modified>
  <cp:category/>
</cp:coreProperties>
</file>