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widowControl/>
        <w:spacing w:after="100"/>
      </w:pPr>
      <w:r>
        <w:rPr>
          <w:b w:val="0"/>
        </w:rPr>
        <w:t>9 Manager due diligence</w:t>
      </w:r>
    </w:p>
    <w:p>
      <w:pPr>
        <w:keepNext w:val="0"/>
        <w:widowControl/>
        <w:spacing w:after="260"/>
      </w:pPr>
      <w:r>
        <w:rPr>
          <w:b w:val="0"/>
          <w:color w:val="555555"/>
          <w:sz w:val="20"/>
        </w:rPr>
        <w:t>Research cutoff 31 August 2026 UTC | Evidence reviewed through 15 September 2026</w:t>
      </w:r>
    </w:p>
    <w:p>
      <w:pPr>
        <w:keepNext w:val="0"/>
        <w:widowControl/>
        <w:spacing w:after="120"/>
      </w:pPr>
      <w:r>
        <w:rPr>
          <w:b w:val="0"/>
        </w:rPr>
        <w:t>Public records support behavioural analysis of visible accounts; manager capability also requires evidence of research discipline and functioning controls. HLP warrants further protocol due diligence. Ordinary public vaults remain screening cases pending equivalent performance reconciliation.</w:t>
      </w:r>
    </w:p>
    <w:p>
      <w:pPr>
        <w:keepNext w:val="0"/>
        <w:widowControl/>
        <w:spacing w:after="120"/>
      </w:pPr>
      <w:r>
        <w:rPr>
          <w:b w:val="0"/>
        </w:rPr>
        <w:t>For HLP, Section 5 estimates an 18.44% cash-flow-adjusted return across 48 irregular valuations. However, two intervals contribute 94.9% of cumulative log return. Positive reconstructed profits support further investigation; concentrated returns and sparse valuations limit conclusions about persistence and tail risk. These findings do not establish transferable market-making alpha.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848"/>
      </w:tblGrid>
      <w:tr>
        <w:trPr>
          <w:cantSplit/>
          <w:tblHeader/>
        </w:trPr>
        <w:tc>
          <w:tcPr>
            <w:tcW w:type="dxa" w:w="2232"/>
            <w:vAlign w:val="center"/>
            <w:tcMar>
              <w:top w:w="80" w:type="dxa"/>
              <w:bottom w:w="80" w:type="dxa"/>
              <w:left w:w="100" w:type="dxa"/>
              <w:right w:w="100" w:type="dxa"/>
            </w:tcMar>
            <w:shd w:fill="DFE9EF"/>
          </w:tcPr>
          <w:p>
            <w:pPr>
              <w:spacing w:after="0" w:line="247" w:lineRule="auto"/>
            </w:pPr>
            <w:r>
              <w:rPr>
                <w:b/>
                <w:color w:val="000000"/>
                <w:sz w:val="20"/>
              </w:rPr>
              <w:t>Dimension</w:t>
            </w:r>
          </w:p>
        </w:tc>
        <w:tc>
          <w:tcPr>
            <w:tcW w:type="dxa" w:w="7848"/>
            <w:vAlign w:val="center"/>
            <w:tcMar>
              <w:top w:w="80" w:type="dxa"/>
              <w:bottom w:w="80" w:type="dxa"/>
              <w:left w:w="100" w:type="dxa"/>
              <w:right w:w="100" w:type="dxa"/>
            </w:tcMar>
            <w:shd w:fill="DFE9EF"/>
          </w:tcPr>
          <w:p>
            <w:pPr>
              <w:spacing w:after="0" w:line="247" w:lineRule="auto"/>
            </w:pPr>
            <w:r>
              <w:rPr>
                <w:b/>
                <w:color w:val="000000"/>
                <w:sz w:val="20"/>
              </w:rPr>
              <w:t>Evidence required</w:t>
            </w:r>
          </w:p>
        </w:tc>
      </w:tr>
      <w:tr>
        <w:trPr>
          <w:cantSplit/>
        </w:trPr>
        <w:tc>
          <w:tcPr>
            <w:tcW w:type="dxa" w:w="2232"/>
            <w:vAlign w:val="center"/>
            <w:tcMar>
              <w:top w:w="80" w:type="dxa"/>
              <w:bottom w:w="80" w:type="dxa"/>
              <w:left w:w="100" w:type="dxa"/>
              <w:right w:w="100" w:type="dxa"/>
            </w:tcMar>
            <w:shd w:fill="FFFFFF"/>
          </w:tcPr>
          <w:p>
            <w:pPr>
              <w:spacing w:after="0" w:line="247" w:lineRule="auto"/>
            </w:pPr>
            <w:r>
              <w:rPr>
                <w:b w:val="0"/>
                <w:color w:val="000000"/>
                <w:sz w:val="20"/>
              </w:rPr>
              <w:t>Strategy and research</w:t>
            </w:r>
          </w:p>
        </w:tc>
        <w:tc>
          <w:tcPr>
            <w:tcW w:type="dxa" w:w="7848"/>
            <w:vAlign w:val="center"/>
            <w:tcMar>
              <w:top w:w="80" w:type="dxa"/>
              <w:bottom w:w="80" w:type="dxa"/>
              <w:left w:w="100" w:type="dxa"/>
              <w:right w:w="100" w:type="dxa"/>
            </w:tcMar>
            <w:shd w:fill="FFFFFF"/>
          </w:tcPr>
          <w:p>
            <w:pPr>
              <w:spacing w:after="0" w:line="247" w:lineRule="auto"/>
            </w:pPr>
            <w:r>
              <w:rPr>
                <w:b w:val="0"/>
                <w:color w:val="000000"/>
                <w:sz w:val="20"/>
              </w:rPr>
              <w:t>Economic rationale, data lineage, out-of-sample validation, overfitting controls.</w:t>
            </w:r>
          </w:p>
        </w:tc>
      </w:tr>
      <w:tr>
        <w:trPr>
          <w:cantSplit/>
        </w:trPr>
        <w:tc>
          <w:tcPr>
            <w:tcW w:type="dxa" w:w="2232"/>
            <w:vAlign w:val="center"/>
            <w:tcMar>
              <w:top w:w="80" w:type="dxa"/>
              <w:bottom w:w="80" w:type="dxa"/>
              <w:left w:w="100" w:type="dxa"/>
              <w:right w:w="100" w:type="dxa"/>
            </w:tcMar>
            <w:shd w:fill="FFFFFF"/>
          </w:tcPr>
          <w:p>
            <w:pPr>
              <w:spacing w:after="0" w:line="247" w:lineRule="auto"/>
            </w:pPr>
            <w:r>
              <w:rPr>
                <w:b w:val="0"/>
                <w:color w:val="000000"/>
                <w:sz w:val="20"/>
              </w:rPr>
              <w:t>Performance integrity</w:t>
            </w:r>
          </w:p>
        </w:tc>
        <w:tc>
          <w:tcPr>
            <w:tcW w:type="dxa" w:w="7848"/>
            <w:vAlign w:val="center"/>
            <w:tcMar>
              <w:top w:w="80" w:type="dxa"/>
              <w:bottom w:w="80" w:type="dxa"/>
              <w:left w:w="100" w:type="dxa"/>
              <w:right w:w="100" w:type="dxa"/>
            </w:tcMar>
            <w:shd w:fill="FFFFFF"/>
          </w:tcPr>
          <w:p>
            <w:pPr>
              <w:spacing w:after="0" w:line="247" w:lineRule="auto"/>
            </w:pPr>
            <w:r>
              <w:rPr>
                <w:b w:val="0"/>
                <w:color w:val="000000"/>
                <w:sz w:val="20"/>
              </w:rPr>
              <w:t>All accounts and off-chain hedges; flows, fees and independent reconciliation.</w:t>
            </w:r>
          </w:p>
        </w:tc>
      </w:tr>
      <w:tr>
        <w:trPr>
          <w:cantSplit/>
        </w:trPr>
        <w:tc>
          <w:tcPr>
            <w:tcW w:type="dxa" w:w="2232"/>
            <w:vAlign w:val="center"/>
            <w:tcMar>
              <w:top w:w="80" w:type="dxa"/>
              <w:bottom w:w="80" w:type="dxa"/>
              <w:left w:w="100" w:type="dxa"/>
              <w:right w:w="100" w:type="dxa"/>
            </w:tcMar>
            <w:shd w:fill="FFFFFF"/>
          </w:tcPr>
          <w:p>
            <w:pPr>
              <w:spacing w:after="0" w:line="247" w:lineRule="auto"/>
            </w:pPr>
            <w:r>
              <w:rPr>
                <w:b w:val="0"/>
                <w:color w:val="000000"/>
                <w:sz w:val="20"/>
              </w:rPr>
              <w:t>Risk controls</w:t>
            </w:r>
          </w:p>
        </w:tc>
        <w:tc>
          <w:tcPr>
            <w:tcW w:type="dxa" w:w="7848"/>
            <w:vAlign w:val="center"/>
            <w:tcMar>
              <w:top w:w="80" w:type="dxa"/>
              <w:bottom w:w="80" w:type="dxa"/>
              <w:left w:w="100" w:type="dxa"/>
              <w:right w:w="100" w:type="dxa"/>
            </w:tcMar>
            <w:shd w:fill="FFFFFF"/>
          </w:tcPr>
          <w:p>
            <w:pPr>
              <w:spacing w:after="0" w:line="247" w:lineRule="auto"/>
            </w:pPr>
            <w:r>
              <w:rPr>
                <w:b w:val="0"/>
                <w:color w:val="000000"/>
                <w:sz w:val="20"/>
              </w:rPr>
              <w:t>Hard limits, joint stress tests, override approvals and incident records.</w:t>
            </w:r>
          </w:p>
        </w:tc>
      </w:tr>
      <w:tr>
        <w:trPr>
          <w:cantSplit/>
        </w:trPr>
        <w:tc>
          <w:tcPr>
            <w:tcW w:type="dxa" w:w="2232"/>
            <w:vAlign w:val="center"/>
            <w:tcMar>
              <w:top w:w="80" w:type="dxa"/>
              <w:bottom w:w="80" w:type="dxa"/>
              <w:left w:w="100" w:type="dxa"/>
              <w:right w:w="100" w:type="dxa"/>
            </w:tcMar>
            <w:shd w:fill="FFFFFF"/>
          </w:tcPr>
          <w:p>
            <w:pPr>
              <w:spacing w:after="0" w:line="247" w:lineRule="auto"/>
            </w:pPr>
            <w:r>
              <w:rPr>
                <w:b w:val="0"/>
                <w:color w:val="000000"/>
                <w:sz w:val="20"/>
              </w:rPr>
              <w:t>Infrastructure</w:t>
            </w:r>
          </w:p>
        </w:tc>
        <w:tc>
          <w:tcPr>
            <w:tcW w:type="dxa" w:w="7848"/>
            <w:vAlign w:val="center"/>
            <w:tcMar>
              <w:top w:w="80" w:type="dxa"/>
              <w:bottom w:w="80" w:type="dxa"/>
              <w:left w:w="100" w:type="dxa"/>
              <w:right w:w="100" w:type="dxa"/>
            </w:tcMar>
            <w:shd w:fill="FFFFFF"/>
          </w:tcPr>
          <w:p>
            <w:pPr>
              <w:spacing w:after="0" w:line="247" w:lineRule="auto"/>
            </w:pPr>
            <w:r>
              <w:rPr>
                <w:b w:val="0"/>
                <w:color w:val="000000"/>
                <w:sz w:val="20"/>
              </w:rPr>
              <w:t>Latency, rejected orders, stale feeds, failover and emergency cancellation tests.</w:t>
            </w:r>
          </w:p>
        </w:tc>
      </w:tr>
      <w:tr>
        <w:trPr>
          <w:cantSplit/>
        </w:trPr>
        <w:tc>
          <w:tcPr>
            <w:tcW w:type="dxa" w:w="2232"/>
            <w:vAlign w:val="center"/>
            <w:tcMar>
              <w:top w:w="80" w:type="dxa"/>
              <w:bottom w:w="80" w:type="dxa"/>
              <w:left w:w="100" w:type="dxa"/>
              <w:right w:w="100" w:type="dxa"/>
            </w:tcMar>
            <w:shd w:fill="FFFFFF"/>
          </w:tcPr>
          <w:p>
            <w:pPr>
              <w:spacing w:after="0" w:line="247" w:lineRule="auto"/>
            </w:pPr>
            <w:r>
              <w:rPr>
                <w:b w:val="0"/>
                <w:color w:val="000000"/>
                <w:sz w:val="20"/>
              </w:rPr>
              <w:t>Team</w:t>
            </w:r>
          </w:p>
        </w:tc>
        <w:tc>
          <w:tcPr>
            <w:tcW w:type="dxa" w:w="7848"/>
            <w:vAlign w:val="center"/>
            <w:tcMar>
              <w:top w:w="80" w:type="dxa"/>
              <w:bottom w:w="80" w:type="dxa"/>
              <w:left w:w="100" w:type="dxa"/>
              <w:right w:w="100" w:type="dxa"/>
            </w:tcMar>
            <w:shd w:fill="FFFFFF"/>
          </w:tcPr>
          <w:p>
            <w:pPr>
              <w:spacing w:after="0" w:line="247" w:lineRule="auto"/>
            </w:pPr>
            <w:r>
              <w:rPr>
                <w:b w:val="0"/>
                <w:color w:val="000000"/>
                <w:sz w:val="20"/>
              </w:rPr>
              <w:t>Responsibilities, departures, succession and independent risk oversight.</w:t>
            </w:r>
          </w:p>
        </w:tc>
      </w:tr>
      <w:tr>
        <w:trPr>
          <w:cantSplit/>
        </w:trPr>
        <w:tc>
          <w:tcPr>
            <w:tcW w:type="dxa" w:w="2232"/>
            <w:vAlign w:val="center"/>
            <w:tcMar>
              <w:top w:w="80" w:type="dxa"/>
              <w:bottom w:w="80" w:type="dxa"/>
              <w:left w:w="100" w:type="dxa"/>
              <w:right w:w="100" w:type="dxa"/>
            </w:tcMar>
            <w:shd w:fill="FFFFFF"/>
          </w:tcPr>
          <w:p>
            <w:pPr>
              <w:spacing w:after="0" w:line="247" w:lineRule="auto"/>
            </w:pPr>
            <w:r>
              <w:rPr>
                <w:b w:val="0"/>
                <w:color w:val="000000"/>
                <w:sz w:val="20"/>
              </w:rPr>
              <w:t>Operations</w:t>
            </w:r>
          </w:p>
        </w:tc>
        <w:tc>
          <w:tcPr>
            <w:tcW w:type="dxa" w:w="7848"/>
            <w:vAlign w:val="center"/>
            <w:tcMar>
              <w:top w:w="80" w:type="dxa"/>
              <w:bottom w:w="80" w:type="dxa"/>
              <w:left w:w="100" w:type="dxa"/>
              <w:right w:w="100" w:type="dxa"/>
            </w:tcMar>
            <w:shd w:fill="FFFFFF"/>
          </w:tcPr>
          <w:p>
            <w:pPr>
              <w:spacing w:after="0" w:line="247" w:lineRule="auto"/>
            </w:pPr>
            <w:r>
              <w:rPr>
                <w:b w:val="0"/>
                <w:color w:val="000000"/>
                <w:sz w:val="20"/>
              </w:rPr>
              <w:t>Key governance, trading/withdrawal permissions, custody, providers and redemption terms.</w:t>
            </w:r>
          </w:p>
        </w:tc>
      </w:tr>
    </w:tbl>
    <w:p>
      <w:pPr>
        <w:keepNext w:val="0"/>
        <w:widowControl/>
        <w:spacing w:after="40"/>
      </w:pPr>
      <w:r>
        <w:rPr>
          <w:b w:val="0"/>
        </w:rPr>
      </w:r>
    </w:p>
    <w:p>
      <w:pPr>
        <w:keepNext w:val="0"/>
        <w:widowControl/>
        <w:spacing w:after="120"/>
      </w:pPr>
      <w:r>
        <w:rPr>
          <w:b w:val="0"/>
        </w:rPr>
        <w:t>Each research card follows supporting evidence, counterevidence, unresolved questions and conditions for further diligence. Undisclosed controls remain unverified, without numerical scoring or assumptions that they have failed. Progression requires reconciled performance, a complete account perimeter, scoped risk limits and demonstrated permission controls; material contradictions or declined verification suspend progression.</w:t>
      </w:r>
    </w:p>
    <w:p>
      <w:pPr>
        <w:keepNext w:val="0"/>
        <w:widowControl/>
        <w:spacing w:after="120"/>
      </w:pPr>
      <w:r>
        <w:rPr>
          <w:b w:val="0"/>
        </w:rPr>
        <w:t>HLP is assessed through protocol governance, historical strategy mechanisms and withdrawal rules. [2] Ordinary vaults are not automatically separately managed accounts: asset ownership, delegated authority, mandate restrictions and withdrawal rights require verification. Visible vault assets are not a manager's complete AUM.</w:t>
      </w:r>
    </w:p>
    <w:p>
      <w:pPr>
        <w:keepNext w:val="0"/>
        <w:widowControl/>
        <w:spacing w:after="120"/>
      </w:pPr>
      <w:r>
        <w:rPr>
          <w:b w:val="0"/>
        </w:rPr>
        <w:t>No manager interviews, private research reviews or internal-control tests have been conducted. Every evidence item records its source, effective period, retrieval date, reviewer and open condition. Material strategy, personnel, permission or risk changes trigger reassessment.</w:t>
      </w:r>
    </w:p>
    <w:p>
      <w:pPr>
        <w:keepNext w:val="0"/>
        <w:widowControl/>
        <w:spacing w:after="0"/>
      </w:pPr>
      <w:r>
        <w:rPr>
          <w:b w:val="0"/>
          <w:color w:val="555555"/>
          <w:sz w:val="18"/>
        </w:rPr>
        <w:t>References [1] and [2] are listed on the final page. The DDQ and research card are separate supplementary materials.</w:t>
      </w:r>
    </w:p>
    <w:p>
      <w:r>
        <w:br w:type="page"/>
      </w:r>
    </w:p>
    <w:p>
      <w:pPr>
        <w:pStyle w:val="Title"/>
        <w:keepNext w:val="0"/>
        <w:widowControl/>
        <w:spacing w:after="100"/>
      </w:pPr>
      <w:r>
        <w:rPr>
          <w:b w:val="0"/>
        </w:rPr>
        <w:t>Manager due diligence questionnaire</w:t>
      </w:r>
    </w:p>
    <w:p>
      <w:pPr>
        <w:keepNext w:val="0"/>
        <w:widowControl/>
        <w:spacing w:after="260"/>
      </w:pPr>
      <w:r>
        <w:rPr>
          <w:b w:val="0"/>
          <w:color w:val="555555"/>
          <w:sz w:val="20"/>
        </w:rPr>
        <w:t>Supplement A | Part 1 of 3 | Requests for evidence, not completed interview findings</w:t>
      </w:r>
    </w:p>
    <w:p>
      <w:pPr>
        <w:keepNext w:val="0"/>
        <w:widowControl/>
        <w:spacing w:after="100"/>
      </w:pPr>
      <w:r>
        <w:rPr>
          <w:b w:val="0"/>
          <w:sz w:val="20"/>
        </w:rPr>
        <w:t>Object [                       ]  Respondent and role [                       ]  Response date [                       ]</w:t>
      </w:r>
    </w:p>
    <w:p>
      <w:pPr>
        <w:keepNext w:val="0"/>
        <w:widowControl/>
        <w:spacing w:after="100"/>
      </w:pPr>
      <w:r>
        <w:rPr>
          <w:b w:val="0"/>
          <w:sz w:val="20"/>
        </w:rPr>
        <w:t>Account or vault [                       ]  Implementation and authority [                       ]</w:t>
      </w:r>
    </w:p>
    <w:p>
      <w:pPr>
        <w:keepNext w:val="0"/>
        <w:widowControl/>
        <w:spacing w:after="100"/>
      </w:pPr>
      <w:r>
        <w:rPr>
          <w:b w:val="0"/>
          <w:sz w:val="20"/>
        </w:rPr>
        <w:t>Answer for the period ending 31 August 2026; identify later changes separately. Attach dated evidence or explain unavailable and non-applicable items. Do not provide private keys, seed phrases or trading credentials.</w:t>
      </w:r>
    </w:p>
    <w:p>
      <w:pPr>
        <w:keepNext w:val="0"/>
        <w:widowControl/>
        <w:spacing w:after="100"/>
      </w:pPr>
      <w:r>
        <w:rPr>
          <w:b w:val="0"/>
          <w:sz w:val="20"/>
        </w:rPr>
        <w:t>For HLP, route questions to protocol governance and accountable operators where identifiable. Record genuinely non-applicable manager questions with reasons.</w:t>
      </w:r>
    </w:p>
    <w:p>
      <w:pPr>
        <w:pStyle w:val="Heading2"/>
        <w:keepNext/>
        <w:widowControl/>
        <w:spacing w:after="100" w:before="160"/>
      </w:pPr>
      <w:r>
        <w:rPr>
          <w:b w:val="0"/>
          <w:sz w:val="24"/>
        </w:rPr>
        <w:t>Strategy and research</w:t>
      </w:r>
    </w:p>
    <w:p>
      <w:pPr>
        <w:keepNext/>
        <w:keepLines/>
        <w:widowControl/>
        <w:spacing w:after="60"/>
      </w:pPr>
      <w:r>
        <w:rPr>
          <w:b w:val="0"/>
        </w:rPr>
      </w:r>
      <w:r>
        <w:rPr>
          <w:b/>
        </w:rPr>
        <w:t xml:space="preserve">R01  </w:t>
      </w:r>
      <w:r>
        <w:t>What produces net returns, when should the strategy fail, and how does rising capital change expected returns and exit capacity?</w:t>
      </w:r>
    </w:p>
    <w:p>
      <w:pPr>
        <w:keepNext/>
        <w:keepLines/>
        <w:widowControl/>
        <w:spacing w:after="60"/>
      </w:pPr>
      <w:r>
        <w:rPr>
          <w:b w:val="0"/>
          <w:color w:val="505050"/>
          <w:sz w:val="19"/>
        </w:rPr>
        <w:t>Evidence requested: Strategy memo; PnL bridge; capital and execution-cost scenarios.</w:t>
      </w:r>
    </w:p>
    <w:p>
      <w:pPr>
        <w:keepNext w:val="0"/>
        <w:keepLines/>
        <w:widowControl/>
        <w:spacing w:after="140"/>
      </w:pPr>
      <w:r>
        <w:rPr>
          <w:b w:val="0"/>
          <w:color w:val="555555"/>
          <w:sz w:val="19"/>
        </w:rPr>
        <w:t>Answer [                         ]   Evidence ID [             ]   Effective date [             ]</w:t>
      </w:r>
    </w:p>
    <w:p>
      <w:pPr>
        <w:keepNext/>
        <w:keepLines/>
        <w:widowControl/>
        <w:spacing w:after="60"/>
      </w:pPr>
      <w:r>
        <w:rPr>
          <w:b w:val="0"/>
        </w:rPr>
      </w:r>
      <w:r>
        <w:rPr>
          <w:b/>
        </w:rPr>
        <w:t xml:space="preserve">R02  </w:t>
      </w:r>
      <w:r>
        <w:t>How are source data, timestamps and historical revisions controlled, including leakage, survivorship, missing observations and instrument mapping?</w:t>
      </w:r>
    </w:p>
    <w:p>
      <w:pPr>
        <w:keepNext/>
        <w:keepLines/>
        <w:widowControl/>
        <w:spacing w:after="60"/>
      </w:pPr>
      <w:r>
        <w:rPr>
          <w:b w:val="0"/>
          <w:color w:val="505050"/>
          <w:sz w:val="19"/>
        </w:rPr>
        <w:t>Evidence requested: Data lineage; immutable dataset versions; documented quality exceptions.</w:t>
      </w:r>
    </w:p>
    <w:p>
      <w:pPr>
        <w:keepNext w:val="0"/>
        <w:keepLines/>
        <w:widowControl/>
        <w:spacing w:after="140"/>
      </w:pPr>
      <w:r>
        <w:rPr>
          <w:b w:val="0"/>
          <w:color w:val="555555"/>
          <w:sz w:val="19"/>
        </w:rPr>
        <w:t>Answer [                         ]   Evidence ID [             ]   Effective date [             ]</w:t>
      </w:r>
    </w:p>
    <w:p>
      <w:pPr>
        <w:keepNext/>
        <w:keepLines/>
        <w:widowControl/>
        <w:spacing w:after="60"/>
      </w:pPr>
      <w:r>
        <w:rPr>
          <w:b w:val="0"/>
        </w:rPr>
      </w:r>
      <w:r>
        <w:rPr>
          <w:b/>
        </w:rPr>
        <w:t xml:space="preserve">R03  </w:t>
      </w:r>
      <w:r>
        <w:t>Show how a signal moves from research to production, including failed trials, overfitting controls, untouched validation and change approval.</w:t>
      </w:r>
    </w:p>
    <w:p>
      <w:pPr>
        <w:keepNext/>
        <w:keepLines/>
        <w:widowControl/>
        <w:spacing w:after="60"/>
      </w:pPr>
      <w:r>
        <w:rPr>
          <w:b w:val="0"/>
          <w:color w:val="505050"/>
          <w:sz w:val="19"/>
        </w:rPr>
        <w:t>Evidence requested: Experiment register; out-of-sample results; model and deployment approvals.</w:t>
      </w:r>
    </w:p>
    <w:p>
      <w:pPr>
        <w:keepNext w:val="0"/>
        <w:keepLines/>
        <w:widowControl/>
        <w:spacing w:after="140"/>
      </w:pPr>
      <w:r>
        <w:rPr>
          <w:b w:val="0"/>
          <w:color w:val="555555"/>
          <w:sz w:val="19"/>
        </w:rPr>
        <w:t>Answer [                         ]   Evidence ID [             ]   Effective date [             ]</w:t>
      </w:r>
    </w:p>
    <w:p>
      <w:pPr>
        <w:pStyle w:val="Heading2"/>
        <w:keepNext/>
        <w:widowControl/>
        <w:spacing w:after="100" w:before="160"/>
      </w:pPr>
      <w:r>
        <w:rPr>
          <w:b w:val="0"/>
          <w:sz w:val="24"/>
        </w:rPr>
        <w:t>Performance integrity</w:t>
      </w:r>
    </w:p>
    <w:p>
      <w:pPr>
        <w:keepNext/>
        <w:keepLines/>
        <w:widowControl/>
        <w:spacing w:after="60"/>
      </w:pPr>
      <w:r>
        <w:rPr>
          <w:b w:val="0"/>
        </w:rPr>
      </w:r>
      <w:r>
        <w:rPr>
          <w:b/>
        </w:rPr>
        <w:t xml:space="preserve">P01  </w:t>
      </w:r>
      <w:r>
        <w:t>List active and closed accounts, subaccounts, vaults and off-chain hedges; reconcile strategy assets with firm AUM and identify economic account owners.</w:t>
      </w:r>
    </w:p>
    <w:p>
      <w:pPr>
        <w:keepNext/>
        <w:keepLines/>
        <w:widowControl/>
        <w:spacing w:after="60"/>
      </w:pPr>
      <w:r>
        <w:rPr>
          <w:b w:val="0"/>
          <w:color w:val="505050"/>
          <w:sz w:val="19"/>
        </w:rPr>
        <w:t>Evidence requested: Account map; dated read-only records; asset and liability statements.</w:t>
      </w:r>
    </w:p>
    <w:p>
      <w:pPr>
        <w:keepNext w:val="0"/>
        <w:keepLines/>
        <w:widowControl/>
        <w:spacing w:after="140"/>
      </w:pPr>
      <w:r>
        <w:rPr>
          <w:b w:val="0"/>
          <w:color w:val="555555"/>
          <w:sz w:val="19"/>
        </w:rPr>
        <w:t>Answer [                         ]   Evidence ID [             ]   Effective date [             ]</w:t>
      </w:r>
    </w:p>
    <w:p>
      <w:pPr>
        <w:keepNext/>
        <w:keepLines/>
        <w:widowControl/>
        <w:spacing w:after="60"/>
      </w:pPr>
      <w:r>
        <w:rPr>
          <w:b w:val="0"/>
        </w:rPr>
      </w:r>
      <w:r>
        <w:rPr>
          <w:b/>
        </w:rPr>
        <w:t xml:space="preserve">P02  </w:t>
      </w:r>
      <w:r>
        <w:t>Rebuild returns from valuations and timed cash flows, removing internal transfers and reconciling funding, fees, rebates, financing and unexplained PnL.</w:t>
      </w:r>
    </w:p>
    <w:p>
      <w:pPr>
        <w:keepNext/>
        <w:keepLines/>
        <w:widowControl/>
        <w:spacing w:after="60"/>
      </w:pPr>
      <w:r>
        <w:rPr>
          <w:b w:val="0"/>
          <w:color w:val="505050"/>
          <w:sz w:val="19"/>
        </w:rPr>
        <w:t>Evidence requested: Valuation ledger; full fee schedules; reconciliation with residuals.</w:t>
      </w:r>
    </w:p>
    <w:p>
      <w:pPr>
        <w:keepNext w:val="0"/>
        <w:keepLines/>
        <w:widowControl/>
        <w:spacing w:after="140"/>
      </w:pPr>
      <w:r>
        <w:rPr>
          <w:b w:val="0"/>
          <w:color w:val="555555"/>
          <w:sz w:val="19"/>
        </w:rPr>
        <w:t>Answer [                         ]   Evidence ID [             ]   Effective date [             ]</w:t>
      </w:r>
    </w:p>
    <w:p>
      <w:pPr>
        <w:keepNext/>
        <w:keepLines/>
        <w:widowControl/>
        <w:spacing w:after="60"/>
      </w:pPr>
      <w:r>
        <w:rPr>
          <w:b w:val="0"/>
        </w:rPr>
      </w:r>
      <w:r>
        <w:rPr>
          <w:b/>
        </w:rPr>
        <w:t xml:space="preserve">P03  </w:t>
      </w:r>
      <w:r>
        <w:t>Who independently checks the track record, and how are revisions, excluded accounts, closed strategies and investor-specific net returns disclosed?</w:t>
      </w:r>
    </w:p>
    <w:p>
      <w:pPr>
        <w:keepNext/>
        <w:keepLines/>
        <w:widowControl/>
        <w:spacing w:after="60"/>
      </w:pPr>
      <w:r>
        <w:rPr>
          <w:b w:val="0"/>
          <w:color w:val="505050"/>
          <w:sz w:val="19"/>
        </w:rPr>
        <w:t>Evidence requested: Administrator or independent review; revision history; composite inclusion rules.</w:t>
      </w:r>
    </w:p>
    <w:p>
      <w:pPr>
        <w:keepNext w:val="0"/>
        <w:keepLines/>
        <w:widowControl/>
        <w:spacing w:after="140"/>
      </w:pPr>
      <w:r>
        <w:rPr>
          <w:b w:val="0"/>
          <w:color w:val="555555"/>
          <w:sz w:val="19"/>
        </w:rPr>
        <w:t>Answer [                         ]   Evidence ID [             ]   Effective date [             ]</w:t>
      </w:r>
    </w:p>
    <w:p>
      <w:pPr>
        <w:keepNext w:val="0"/>
        <w:widowControl/>
        <w:spacing w:after="0"/>
      </w:pPr>
      <w:r>
        <w:rPr>
          <w:b w:val="0"/>
          <w:color w:val="555555"/>
          <w:sz w:val="18"/>
        </w:rPr>
        <w:t>Reviewer only: classify each response as received but unverified, verified within scope, pending, contradictory, or not applicable with reason.</w:t>
      </w:r>
    </w:p>
    <w:p>
      <w:r>
        <w:br w:type="page"/>
      </w:r>
    </w:p>
    <w:p>
      <w:pPr>
        <w:pStyle w:val="Title"/>
        <w:keepNext w:val="0"/>
        <w:widowControl/>
        <w:spacing w:after="100"/>
      </w:pPr>
      <w:r>
        <w:rPr>
          <w:b w:val="0"/>
        </w:rPr>
        <w:t>Manager due diligence questionnaire</w:t>
      </w:r>
    </w:p>
    <w:p>
      <w:pPr>
        <w:keepNext w:val="0"/>
        <w:widowControl/>
        <w:spacing w:after="260"/>
      </w:pPr>
      <w:r>
        <w:rPr>
          <w:b w:val="0"/>
          <w:color w:val="555555"/>
          <w:sz w:val="20"/>
        </w:rPr>
        <w:t>Supplement A | Part 2 of 3 | Requests for evidence, not completed interview findings</w:t>
      </w:r>
    </w:p>
    <w:p>
      <w:pPr>
        <w:keepNext w:val="0"/>
        <w:widowControl/>
        <w:spacing w:after="120"/>
      </w:pPr>
      <w:r>
        <w:rPr>
          <w:b w:val="0"/>
          <w:sz w:val="20"/>
        </w:rPr>
        <w:t>Object [                       ]  Respondent and role [                       ]  Response date [                       ]</w:t>
      </w:r>
    </w:p>
    <w:p>
      <w:pPr>
        <w:pStyle w:val="Heading2"/>
        <w:keepNext/>
        <w:widowControl/>
        <w:spacing w:after="100" w:before="160"/>
      </w:pPr>
      <w:r>
        <w:rPr>
          <w:b w:val="0"/>
          <w:sz w:val="24"/>
        </w:rPr>
        <w:t>Risk controls</w:t>
      </w:r>
    </w:p>
    <w:p>
      <w:pPr>
        <w:keepNext/>
        <w:keepLines/>
        <w:widowControl/>
        <w:spacing w:after="60"/>
      </w:pPr>
      <w:r>
        <w:rPr>
          <w:b w:val="0"/>
        </w:rPr>
      </w:r>
      <w:r>
        <w:rPr>
          <w:b/>
        </w:rPr>
        <w:t xml:space="preserve">K01  </w:t>
      </w:r>
      <w:r>
        <w:t>Which hard limits govern net and gross exposures, leverage, concentration, collateral and exit liquidity, and how are limits enforced independently of traders?</w:t>
      </w:r>
    </w:p>
    <w:p>
      <w:pPr>
        <w:keepNext/>
        <w:keepLines/>
        <w:widowControl/>
        <w:spacing w:after="60"/>
      </w:pPr>
      <w:r>
        <w:rPr>
          <w:b w:val="0"/>
          <w:color w:val="505050"/>
          <w:sz w:val="19"/>
        </w:rPr>
        <w:t>Evidence requested: Approved limits; enforcement configuration; recent limit-test evidence.</w:t>
      </w:r>
    </w:p>
    <w:p>
      <w:pPr>
        <w:keepNext w:val="0"/>
        <w:keepLines/>
        <w:widowControl/>
        <w:spacing w:after="140"/>
      </w:pPr>
      <w:r>
        <w:rPr>
          <w:b w:val="0"/>
          <w:color w:val="555555"/>
          <w:sz w:val="19"/>
        </w:rPr>
        <w:t>Answer [                         ]   Evidence ID [             ]   Effective date [             ]</w:t>
      </w:r>
    </w:p>
    <w:p>
      <w:pPr>
        <w:keepNext/>
        <w:keepLines/>
        <w:widowControl/>
        <w:spacing w:after="60"/>
      </w:pPr>
      <w:r>
        <w:rPr>
          <w:b w:val="0"/>
        </w:rPr>
      </w:r>
      <w:r>
        <w:rPr>
          <w:b/>
        </w:rPr>
        <w:t xml:space="preserve">K02  </w:t>
      </w:r>
      <w:r>
        <w:t>What happens when funding reverses, depth disappears and one hedge leg or transfer route fails together at the proposed allocation size?</w:t>
      </w:r>
    </w:p>
    <w:p>
      <w:pPr>
        <w:keepNext/>
        <w:keepLines/>
        <w:widowControl/>
        <w:spacing w:after="60"/>
      </w:pPr>
      <w:r>
        <w:rPr>
          <w:b w:val="0"/>
          <w:color w:val="505050"/>
          <w:sz w:val="19"/>
        </w:rPr>
        <w:t>Evidence requested: Joint stress scenarios; liquidation thresholds; collateral and exit plans.</w:t>
      </w:r>
    </w:p>
    <w:p>
      <w:pPr>
        <w:keepNext w:val="0"/>
        <w:keepLines/>
        <w:widowControl/>
        <w:spacing w:after="140"/>
      </w:pPr>
      <w:r>
        <w:rPr>
          <w:b w:val="0"/>
          <w:color w:val="555555"/>
          <w:sz w:val="19"/>
        </w:rPr>
        <w:t>Answer [                         ]   Evidence ID [             ]   Effective date [             ]</w:t>
      </w:r>
    </w:p>
    <w:p>
      <w:pPr>
        <w:keepNext/>
        <w:keepLines/>
        <w:widowControl/>
        <w:spacing w:after="60"/>
      </w:pPr>
      <w:r>
        <w:rPr>
          <w:b w:val="0"/>
        </w:rPr>
      </w:r>
      <w:r>
        <w:rPr>
          <w:b/>
        </w:rPr>
        <w:t xml:space="preserve">K03  </w:t>
      </w:r>
      <w:r>
        <w:t>Provide breaches, overrides and material incidents, including cause, approval, residual exposure, remediation owner and evidence that corrective actions worked.</w:t>
      </w:r>
    </w:p>
    <w:p>
      <w:pPr>
        <w:keepNext/>
        <w:keepLines/>
        <w:widowControl/>
        <w:spacing w:after="60"/>
      </w:pPr>
      <w:r>
        <w:rPr>
          <w:b w:val="0"/>
          <w:color w:val="505050"/>
          <w:sz w:val="19"/>
        </w:rPr>
        <w:t>Evidence requested: Incident register; override logs; dated closure and escalation records.</w:t>
      </w:r>
    </w:p>
    <w:p>
      <w:pPr>
        <w:keepNext w:val="0"/>
        <w:keepLines/>
        <w:widowControl/>
        <w:spacing w:after="140"/>
      </w:pPr>
      <w:r>
        <w:rPr>
          <w:b w:val="0"/>
          <w:color w:val="555555"/>
          <w:sz w:val="19"/>
        </w:rPr>
        <w:t>Answer [                         ]   Evidence ID [             ]   Effective date [             ]</w:t>
      </w:r>
    </w:p>
    <w:p>
      <w:pPr>
        <w:pStyle w:val="Heading2"/>
        <w:keepNext/>
        <w:widowControl/>
        <w:spacing w:after="100" w:before="160"/>
      </w:pPr>
      <w:r>
        <w:rPr>
          <w:b w:val="0"/>
          <w:sz w:val="24"/>
        </w:rPr>
        <w:t>Infrastructure</w:t>
      </w:r>
    </w:p>
    <w:p>
      <w:pPr>
        <w:keepNext/>
        <w:keepLines/>
        <w:widowControl/>
        <w:spacing w:after="60"/>
      </w:pPr>
      <w:r>
        <w:rPr>
          <w:b w:val="0"/>
        </w:rPr>
      </w:r>
      <w:r>
        <w:rPr>
          <w:b/>
        </w:rPr>
        <w:t xml:space="preserve">I01  </w:t>
      </w:r>
      <w:r>
        <w:t>Show order-to-acknowledgement, fill and cancellation records, rejection rates and priority costs; distinguish live evidence from simulated fills and L2 assumptions.</w:t>
      </w:r>
    </w:p>
    <w:p>
      <w:pPr>
        <w:keepNext/>
        <w:keepLines/>
        <w:widowControl/>
        <w:spacing w:after="60"/>
      </w:pPr>
      <w:r>
        <w:rPr>
          <w:b w:val="0"/>
          <w:color w:val="505050"/>
          <w:sz w:val="19"/>
        </w:rPr>
        <w:t>Evidence requested: Timestamped order lifecycle logs; latency distributions; cost reconciliation.</w:t>
      </w:r>
    </w:p>
    <w:p>
      <w:pPr>
        <w:keepNext w:val="0"/>
        <w:keepLines/>
        <w:widowControl/>
        <w:spacing w:after="140"/>
      </w:pPr>
      <w:r>
        <w:rPr>
          <w:b w:val="0"/>
          <w:color w:val="555555"/>
          <w:sz w:val="19"/>
        </w:rPr>
        <w:t>Answer [                         ]   Evidence ID [             ]   Effective date [             ]</w:t>
      </w:r>
    </w:p>
    <w:p>
      <w:pPr>
        <w:keepNext/>
        <w:keepLines/>
        <w:widowControl/>
        <w:spacing w:after="60"/>
      </w:pPr>
      <w:r>
        <w:rPr>
          <w:b w:val="0"/>
        </w:rPr>
      </w:r>
      <w:r>
        <w:rPr>
          <w:b/>
        </w:rPr>
        <w:t xml:space="preserve">I02  </w:t>
      </w:r>
      <w:r>
        <w:t>How are stale data, rate limits, nonce conflicts and partial hedges detected, and who can stop new risk and cancel orders?</w:t>
      </w:r>
    </w:p>
    <w:p>
      <w:pPr>
        <w:keepNext/>
        <w:keepLines/>
        <w:widowControl/>
        <w:spacing w:after="60"/>
      </w:pPr>
      <w:r>
        <w:rPr>
          <w:b w:val="0"/>
          <w:color w:val="505050"/>
          <w:sz w:val="19"/>
        </w:rPr>
        <w:t>Evidence requested: Alert rules; account-to-agent mapping; tested cancellation and restart procedures.</w:t>
      </w:r>
    </w:p>
    <w:p>
      <w:pPr>
        <w:keepNext w:val="0"/>
        <w:keepLines/>
        <w:widowControl/>
        <w:spacing w:after="140"/>
      </w:pPr>
      <w:r>
        <w:rPr>
          <w:b w:val="0"/>
          <w:color w:val="555555"/>
          <w:sz w:val="19"/>
        </w:rPr>
        <w:t>Answer [                         ]   Evidence ID [             ]   Effective date [             ]</w:t>
      </w:r>
    </w:p>
    <w:p>
      <w:pPr>
        <w:keepNext/>
        <w:keepLines/>
        <w:widowControl/>
        <w:spacing w:after="60"/>
      </w:pPr>
      <w:r>
        <w:rPr>
          <w:b w:val="0"/>
        </w:rPr>
      </w:r>
      <w:r>
        <w:rPr>
          <w:b/>
        </w:rPr>
        <w:t xml:space="preserve">I03  </w:t>
      </w:r>
      <w:r>
        <w:t>When were failover and recovery last tested, what remained unavailable, and what recovery time and data loss actually occurred?</w:t>
      </w:r>
    </w:p>
    <w:p>
      <w:pPr>
        <w:keepNext/>
        <w:keepLines/>
        <w:widowControl/>
        <w:spacing w:after="60"/>
      </w:pPr>
      <w:r>
        <w:rPr>
          <w:b w:val="0"/>
          <w:color w:val="505050"/>
          <w:sz w:val="19"/>
        </w:rPr>
        <w:t>Evidence requested: Dependency map; failover results; recovery objectives and measured outcomes.</w:t>
      </w:r>
    </w:p>
    <w:p>
      <w:pPr>
        <w:keepNext w:val="0"/>
        <w:keepLines/>
        <w:widowControl/>
        <w:spacing w:after="140"/>
      </w:pPr>
      <w:r>
        <w:rPr>
          <w:b w:val="0"/>
          <w:color w:val="555555"/>
          <w:sz w:val="19"/>
        </w:rPr>
        <w:t>Answer [                         ]   Evidence ID [             ]   Effective date [             ]</w:t>
      </w:r>
    </w:p>
    <w:p>
      <w:pPr>
        <w:keepNext w:val="0"/>
        <w:widowControl/>
        <w:spacing w:after="0"/>
      </w:pPr>
      <w:r>
        <w:rPr>
          <w:b w:val="0"/>
          <w:color w:val="555555"/>
          <w:sz w:val="18"/>
        </w:rPr>
        <w:t>Reviewer only: classify each response as received but unverified, verified within scope, pending, contradictory, or not applicable with reason.</w:t>
      </w:r>
    </w:p>
    <w:p>
      <w:r>
        <w:br w:type="page"/>
      </w:r>
    </w:p>
    <w:p>
      <w:pPr>
        <w:pStyle w:val="Title"/>
        <w:keepNext w:val="0"/>
        <w:widowControl/>
        <w:spacing w:after="100"/>
      </w:pPr>
      <w:r>
        <w:rPr>
          <w:b w:val="0"/>
        </w:rPr>
        <w:t>Manager due diligence questionnaire</w:t>
      </w:r>
    </w:p>
    <w:p>
      <w:pPr>
        <w:keepNext w:val="0"/>
        <w:widowControl/>
        <w:spacing w:after="260"/>
      </w:pPr>
      <w:r>
        <w:rPr>
          <w:b w:val="0"/>
          <w:color w:val="555555"/>
          <w:sz w:val="20"/>
        </w:rPr>
        <w:t>Supplement A | Part 3 of 3 | Requests for evidence, not completed interview findings</w:t>
      </w:r>
    </w:p>
    <w:p>
      <w:pPr>
        <w:keepNext w:val="0"/>
        <w:widowControl/>
        <w:spacing w:after="120"/>
      </w:pPr>
      <w:r>
        <w:rPr>
          <w:b w:val="0"/>
          <w:sz w:val="20"/>
        </w:rPr>
        <w:t>Object [                       ]  Respondent and role [                       ]  Response date [                       ]</w:t>
      </w:r>
    </w:p>
    <w:p>
      <w:pPr>
        <w:pStyle w:val="Heading2"/>
        <w:keepNext/>
        <w:widowControl/>
        <w:spacing w:after="100" w:before="160"/>
      </w:pPr>
      <w:r>
        <w:rPr>
          <w:b w:val="0"/>
          <w:sz w:val="24"/>
        </w:rPr>
        <w:t>Team and governance</w:t>
      </w:r>
    </w:p>
    <w:p>
      <w:pPr>
        <w:keepNext/>
        <w:keepLines/>
        <w:widowControl/>
        <w:spacing w:after="60"/>
      </w:pPr>
      <w:r>
        <w:rPr>
          <w:b w:val="0"/>
        </w:rPr>
      </w:r>
      <w:r>
        <w:rPr>
          <w:b/>
        </w:rPr>
        <w:t xml:space="preserve">T01  </w:t>
      </w:r>
      <w:r>
        <w:t>Who owns research, execution, risk and operations, and what has changed in staffing or responsibilities during and since the performance period?</w:t>
      </w:r>
    </w:p>
    <w:p>
      <w:pPr>
        <w:keepNext/>
        <w:keepLines/>
        <w:widowControl/>
        <w:spacing w:after="60"/>
      </w:pPr>
      <w:r>
        <w:rPr>
          <w:b w:val="0"/>
          <w:color w:val="505050"/>
          <w:sz w:val="19"/>
        </w:rPr>
        <w:t>Evidence requested: Organisation chart; role histories; joiner and leaver records.</w:t>
      </w:r>
    </w:p>
    <w:p>
      <w:pPr>
        <w:keepNext w:val="0"/>
        <w:keepLines/>
        <w:widowControl/>
        <w:spacing w:after="140"/>
      </w:pPr>
      <w:r>
        <w:rPr>
          <w:b w:val="0"/>
          <w:color w:val="555555"/>
          <w:sz w:val="19"/>
        </w:rPr>
        <w:t>Answer [                         ]   Evidence ID [             ]   Effective date [             ]</w:t>
      </w:r>
    </w:p>
    <w:p>
      <w:pPr>
        <w:keepNext/>
        <w:keepLines/>
        <w:widowControl/>
        <w:spacing w:after="60"/>
      </w:pPr>
      <w:r>
        <w:rPr>
          <w:b w:val="0"/>
        </w:rPr>
      </w:r>
      <w:r>
        <w:rPr>
          <w:b/>
        </w:rPr>
        <w:t xml:space="preserve">T02  </w:t>
      </w:r>
      <w:r>
        <w:t>Who challenges research and can block deployments or risk increases, and how are conflicts, incentives and trading allocations supervised?</w:t>
      </w:r>
    </w:p>
    <w:p>
      <w:pPr>
        <w:keepNext/>
        <w:keepLines/>
        <w:widowControl/>
        <w:spacing w:after="60"/>
      </w:pPr>
      <w:r>
        <w:rPr>
          <w:b w:val="0"/>
          <w:color w:val="505050"/>
          <w:sz w:val="19"/>
        </w:rPr>
        <w:t>Evidence requested: Reporting lines; approval records; conflicts and allocation policies.</w:t>
      </w:r>
    </w:p>
    <w:p>
      <w:pPr>
        <w:keepNext w:val="0"/>
        <w:keepLines/>
        <w:widowControl/>
        <w:spacing w:after="140"/>
      </w:pPr>
      <w:r>
        <w:rPr>
          <w:b w:val="0"/>
          <w:color w:val="555555"/>
          <w:sz w:val="19"/>
        </w:rPr>
        <w:t>Answer [                         ]   Evidence ID [             ]   Effective date [             ]</w:t>
      </w:r>
    </w:p>
    <w:p>
      <w:pPr>
        <w:keepNext/>
        <w:keepLines/>
        <w:widowControl/>
        <w:spacing w:after="60"/>
      </w:pPr>
      <w:r>
        <w:rPr>
          <w:b w:val="0"/>
        </w:rPr>
      </w:r>
      <w:r>
        <w:rPr>
          <w:b/>
        </w:rPr>
        <w:t xml:space="preserve">T03  </w:t>
      </w:r>
      <w:r>
        <w:t>What happens if a key researcher, trader or authorised operator is unavailable, and who may change strategy or protocol rules?</w:t>
      </w:r>
    </w:p>
    <w:p>
      <w:pPr>
        <w:keepNext/>
        <w:keepLines/>
        <w:widowControl/>
        <w:spacing w:after="60"/>
      </w:pPr>
      <w:r>
        <w:rPr>
          <w:b w:val="0"/>
          <w:color w:val="505050"/>
          <w:sz w:val="19"/>
        </w:rPr>
        <w:t>Evidence requested: Succession plan; coverage test; governance authority and change history.</w:t>
      </w:r>
    </w:p>
    <w:p>
      <w:pPr>
        <w:keepNext w:val="0"/>
        <w:keepLines/>
        <w:widowControl/>
        <w:spacing w:after="140"/>
      </w:pPr>
      <w:r>
        <w:rPr>
          <w:b w:val="0"/>
          <w:color w:val="555555"/>
          <w:sz w:val="19"/>
        </w:rPr>
        <w:t>Answer [                         ]   Evidence ID [             ]   Effective date [             ]</w:t>
      </w:r>
    </w:p>
    <w:p>
      <w:pPr>
        <w:pStyle w:val="Heading2"/>
        <w:keepNext/>
        <w:widowControl/>
        <w:spacing w:after="100" w:before="160"/>
      </w:pPr>
      <w:r>
        <w:rPr>
          <w:b w:val="0"/>
          <w:sz w:val="24"/>
        </w:rPr>
        <w:t>Operations and account structure</w:t>
      </w:r>
    </w:p>
    <w:p>
      <w:pPr>
        <w:keepNext/>
        <w:keepLines/>
        <w:widowControl/>
        <w:spacing w:after="60"/>
      </w:pPr>
      <w:r>
        <w:rPr>
          <w:b w:val="0"/>
        </w:rPr>
      </w:r>
      <w:r>
        <w:rPr>
          <w:b/>
        </w:rPr>
        <w:t xml:space="preserve">O01  </w:t>
      </w:r>
      <w:r>
        <w:t>How are signing keys protected and rotated, and which roles can trade, change permissions, transfer collateral or withdraw assets?</w:t>
      </w:r>
    </w:p>
    <w:p>
      <w:pPr>
        <w:keepNext/>
        <w:keepLines/>
        <w:widowControl/>
        <w:spacing w:after="60"/>
      </w:pPr>
      <w:r>
        <w:rPr>
          <w:b w:val="0"/>
          <w:color w:val="505050"/>
          <w:sz w:val="19"/>
        </w:rPr>
        <w:t>Evidence requested: Redacted access matrix; revocation test; approval logs. No secret keys.</w:t>
      </w:r>
    </w:p>
    <w:p>
      <w:pPr>
        <w:keepNext w:val="0"/>
        <w:keepLines/>
        <w:widowControl/>
        <w:spacing w:after="140"/>
      </w:pPr>
      <w:r>
        <w:rPr>
          <w:b w:val="0"/>
          <w:color w:val="555555"/>
          <w:sz w:val="19"/>
        </w:rPr>
        <w:t>Answer [                         ]   Evidence ID [             ]   Effective date [             ]</w:t>
      </w:r>
    </w:p>
    <w:p>
      <w:pPr>
        <w:keepNext/>
        <w:keepLines/>
        <w:widowControl/>
        <w:spacing w:after="60"/>
      </w:pPr>
      <w:r>
        <w:rPr>
          <w:b w:val="0"/>
        </w:rPr>
      </w:r>
      <w:r>
        <w:rPr>
          <w:b/>
        </w:rPr>
        <w:t xml:space="preserve">O02  </w:t>
      </w:r>
      <w:r>
        <w:t>Who owns and safeguards assets, which venues or providers hold exposure, and what account-specific mandate or SMA controls are enforceable?</w:t>
      </w:r>
    </w:p>
    <w:p>
      <w:pPr>
        <w:keepNext/>
        <w:keepLines/>
        <w:widowControl/>
        <w:spacing w:after="60"/>
      </w:pPr>
      <w:r>
        <w:rPr>
          <w:b w:val="0"/>
          <w:color w:val="505050"/>
          <w:sz w:val="19"/>
        </w:rPr>
        <w:t>Evidence requested: Custody and provider arrangements; account agreements; mandate and authority map.</w:t>
      </w:r>
    </w:p>
    <w:p>
      <w:pPr>
        <w:keepNext w:val="0"/>
        <w:keepLines/>
        <w:widowControl/>
        <w:spacing w:after="140"/>
      </w:pPr>
      <w:r>
        <w:rPr>
          <w:b w:val="0"/>
          <w:color w:val="555555"/>
          <w:sz w:val="19"/>
        </w:rPr>
        <w:t>Answer [                         ]   Evidence ID [             ]   Effective date [             ]</w:t>
      </w:r>
    </w:p>
    <w:p>
      <w:pPr>
        <w:keepNext/>
        <w:keepLines/>
        <w:widowControl/>
        <w:spacing w:after="60"/>
      </w:pPr>
      <w:r>
        <w:rPr>
          <w:b w:val="0"/>
        </w:rPr>
      </w:r>
      <w:r>
        <w:rPr>
          <w:b/>
        </w:rPr>
        <w:t xml:space="preserve">O03  </w:t>
      </w:r>
      <w:r>
        <w:t>What fees, lockups, withdrawal limits and exceptional exit conditions apply, and how does stressed redemption affect remaining investors and positions?</w:t>
      </w:r>
    </w:p>
    <w:p>
      <w:pPr>
        <w:keepNext/>
        <w:keepLines/>
        <w:widowControl/>
        <w:spacing w:after="60"/>
      </w:pPr>
      <w:r>
        <w:rPr>
          <w:b w:val="0"/>
          <w:color w:val="505050"/>
          <w:sz w:val="19"/>
        </w:rPr>
        <w:t>Evidence requested: Dated terms; withdrawal mechanics; redemption stress and fee examples.</w:t>
      </w:r>
    </w:p>
    <w:p>
      <w:pPr>
        <w:keepNext w:val="0"/>
        <w:keepLines/>
        <w:widowControl/>
        <w:spacing w:after="140"/>
      </w:pPr>
      <w:r>
        <w:rPr>
          <w:b w:val="0"/>
          <w:color w:val="555555"/>
          <w:sz w:val="19"/>
        </w:rPr>
        <w:t>Answer [                         ]   Evidence ID [             ]   Effective date [             ]</w:t>
      </w:r>
    </w:p>
    <w:p>
      <w:pPr>
        <w:keepNext w:val="0"/>
        <w:widowControl/>
        <w:spacing w:after="0"/>
      </w:pPr>
      <w:r>
        <w:rPr>
          <w:b w:val="0"/>
          <w:color w:val="555555"/>
          <w:sz w:val="18"/>
        </w:rPr>
        <w:t>Reviewer only: classify each response as received but unverified, verified within scope, pending, contradictory, or not applicable with reason.</w:t>
      </w:r>
    </w:p>
    <w:p>
      <w:pPr>
        <w:keepNext w:val="0"/>
        <w:widowControl/>
        <w:spacing w:after="0"/>
      </w:pPr>
      <w:r>
        <w:rPr>
          <w:b w:val="0"/>
          <w:sz w:val="19"/>
        </w:rPr>
        <w:t>Review outcome [                       ]  Open conditions and owner [                       ]  Due date [                       ]</w:t>
      </w:r>
    </w:p>
    <w:p>
      <w:r>
        <w:br w:type="page"/>
      </w:r>
    </w:p>
    <w:p>
      <w:pPr>
        <w:pStyle w:val="Title"/>
        <w:keepNext w:val="0"/>
        <w:widowControl/>
        <w:spacing w:after="100"/>
      </w:pPr>
      <w:r>
        <w:rPr>
          <w:b w:val="0"/>
        </w:rPr>
        <w:t>HLP protocol vault research card</w:t>
      </w:r>
    </w:p>
    <w:p>
      <w:pPr>
        <w:keepNext w:val="0"/>
        <w:widowControl/>
        <w:spacing w:after="260"/>
      </w:pPr>
      <w:r>
        <w:rPr>
          <w:b w:val="0"/>
          <w:color w:val="555555"/>
          <w:sz w:val="20"/>
        </w:rPr>
        <w:t>Supplement B | One research object | Conditional continuation of protocol due diligence</w:t>
      </w:r>
    </w:p>
    <w:p>
      <w:pPr>
        <w:keepNext w:val="0"/>
        <w:widowControl/>
        <w:spacing w:after="100"/>
      </w:pPr>
      <w:r>
        <w:rPr>
          <w:b w:val="0"/>
          <w:sz w:val="21"/>
        </w:rPr>
        <w:t>Object: Hyperliquidity Provider (HLP), a protocol vault; not an external manager or a verified SMA. Public research only; no operator interview or control test. [2]</w:t>
      </w:r>
    </w:p>
    <w:p>
      <w:pPr>
        <w:keepNext w:val="0"/>
        <w:widowControl/>
        <w:spacing w:after="100"/>
      </w:pPr>
      <w:r>
        <w:rPr>
          <w:b w:val="0"/>
          <w:sz w:val="19"/>
        </w:rPr>
        <w:t>Parent address: 0xdfc24b077bc1425ad1dea75bcb6f8158e10df303</w:t>
      </w:r>
    </w:p>
    <w:p>
      <w:pPr>
        <w:keepNext w:val="0"/>
        <w:widowControl/>
        <w:spacing w:after="140"/>
      </w:pPr>
      <w:r>
        <w:rPr>
          <w:b w:val="0"/>
          <w:sz w:val="20"/>
        </w:rPr>
        <w:t>Performance observations: 3 September 2025 to 31 August 2026 UTC. Ledger query: September 2025 through August 2026. Evidence retrieved 9–11 September; documentation checked 15 September 2026.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872"/>
        <w:gridCol w:w="5328"/>
      </w:tblGrid>
      <w:tr>
        <w:trPr>
          <w:cantSplit/>
          <w:tblHeader/>
        </w:trPr>
        <w:tc>
          <w:tcPr>
            <w:tcW w:type="dxa" w:w="2880"/>
            <w:vAlign w:val="center"/>
            <w:tcMar>
              <w:top w:w="80" w:type="dxa"/>
              <w:bottom w:w="80" w:type="dxa"/>
              <w:left w:w="100" w:type="dxa"/>
              <w:right w:w="100" w:type="dxa"/>
            </w:tcMar>
            <w:shd w:fill="DFE9EF"/>
          </w:tcPr>
          <w:p>
            <w:pPr>
              <w:spacing w:after="0" w:line="247" w:lineRule="auto"/>
            </w:pPr>
            <w:r>
              <w:rPr>
                <w:b/>
                <w:color w:val="000000"/>
                <w:sz w:val="20"/>
              </w:rPr>
              <w:t>Measure</w:t>
            </w:r>
          </w:p>
        </w:tc>
        <w:tc>
          <w:tcPr>
            <w:tcW w:type="dxa" w:w="1872"/>
            <w:vAlign w:val="center"/>
            <w:tcMar>
              <w:top w:w="80" w:type="dxa"/>
              <w:bottom w:w="80" w:type="dxa"/>
              <w:left w:w="100" w:type="dxa"/>
              <w:right w:w="100" w:type="dxa"/>
            </w:tcMar>
            <w:shd w:fill="DFE9EF"/>
          </w:tcPr>
          <w:p>
            <w:pPr>
              <w:spacing w:after="0" w:line="247" w:lineRule="auto"/>
              <w:jc w:val="center"/>
            </w:pPr>
            <w:r>
              <w:rPr>
                <w:b/>
                <w:color w:val="000000"/>
                <w:sz w:val="20"/>
              </w:rPr>
              <w:t>Result</w:t>
            </w:r>
          </w:p>
        </w:tc>
        <w:tc>
          <w:tcPr>
            <w:tcW w:type="dxa" w:w="5328"/>
            <w:vAlign w:val="center"/>
            <w:tcMar>
              <w:top w:w="80" w:type="dxa"/>
              <w:bottom w:w="80" w:type="dxa"/>
              <w:left w:w="100" w:type="dxa"/>
              <w:right w:w="100" w:type="dxa"/>
            </w:tcMar>
            <w:shd w:fill="DFE9EF"/>
          </w:tcPr>
          <w:p>
            <w:pPr>
              <w:spacing w:after="0" w:line="247" w:lineRule="auto"/>
            </w:pPr>
            <w:r>
              <w:rPr>
                <w:b/>
                <w:color w:val="000000"/>
                <w:sz w:val="20"/>
              </w:rPr>
              <w:t>Interpretation boundary</w:t>
            </w:r>
          </w:p>
        </w:tc>
      </w:tr>
      <w:tr>
        <w:trPr>
          <w:cantSplit/>
        </w:trPr>
        <w:tc>
          <w:tcPr>
            <w:tcW w:type="dxa" w:w="2880"/>
            <w:vAlign w:val="center"/>
            <w:tcMar>
              <w:top w:w="80" w:type="dxa"/>
              <w:bottom w:w="80" w:type="dxa"/>
              <w:left w:w="100" w:type="dxa"/>
              <w:right w:w="100" w:type="dxa"/>
            </w:tcMar>
            <w:shd w:fill="FFFFFF"/>
          </w:tcPr>
          <w:p>
            <w:pPr>
              <w:spacing w:after="0" w:line="247" w:lineRule="auto"/>
            </w:pPr>
            <w:r>
              <w:rPr>
                <w:b w:val="0"/>
                <w:color w:val="000000"/>
                <w:sz w:val="20"/>
              </w:rPr>
              <w:t>Linked Modified Dietz return</w:t>
            </w:r>
          </w:p>
        </w:tc>
        <w:tc>
          <w:tcPr>
            <w:tcW w:type="dxa" w:w="1872"/>
            <w:vAlign w:val="center"/>
            <w:tcMar>
              <w:top w:w="80" w:type="dxa"/>
              <w:bottom w:w="80" w:type="dxa"/>
              <w:left w:w="100" w:type="dxa"/>
              <w:right w:w="100" w:type="dxa"/>
            </w:tcMar>
            <w:shd w:fill="FFFFFF"/>
          </w:tcPr>
          <w:p>
            <w:pPr>
              <w:spacing w:after="0" w:line="247" w:lineRule="auto"/>
              <w:jc w:val="center"/>
            </w:pPr>
            <w:r>
              <w:rPr>
                <w:b w:val="0"/>
                <w:color w:val="000000"/>
                <w:sz w:val="20"/>
              </w:rPr>
              <w:t>+18.44%</w:t>
            </w:r>
          </w:p>
        </w:tc>
        <w:tc>
          <w:tcPr>
            <w:tcW w:type="dxa" w:w="5328"/>
            <w:vAlign w:val="center"/>
            <w:tcMar>
              <w:top w:w="80" w:type="dxa"/>
              <w:bottom w:w="80" w:type="dxa"/>
              <w:left w:w="100" w:type="dxa"/>
              <w:right w:w="100" w:type="dxa"/>
            </w:tcMar>
            <w:shd w:fill="FFFFFF"/>
          </w:tcPr>
          <w:p>
            <w:pPr>
              <w:spacing w:after="0" w:line="247" w:lineRule="auto"/>
            </w:pPr>
            <w:r>
              <w:rPr>
                <w:b w:val="0"/>
                <w:color w:val="000000"/>
                <w:sz w:val="20"/>
              </w:rPr>
              <w:t>Estimate across 48 irregular valuations; not exact unit NAV.</w:t>
            </w:r>
          </w:p>
        </w:tc>
      </w:tr>
      <w:tr>
        <w:trPr>
          <w:cantSplit/>
        </w:trPr>
        <w:tc>
          <w:tcPr>
            <w:tcW w:type="dxa" w:w="2880"/>
            <w:vAlign w:val="center"/>
            <w:tcMar>
              <w:top w:w="80" w:type="dxa"/>
              <w:bottom w:w="80" w:type="dxa"/>
              <w:left w:w="100" w:type="dxa"/>
              <w:right w:w="100" w:type="dxa"/>
            </w:tcMar>
            <w:shd w:fill="FFFFFF"/>
          </w:tcPr>
          <w:p>
            <w:pPr>
              <w:spacing w:after="0" w:line="247" w:lineRule="auto"/>
            </w:pPr>
            <w:r>
              <w:rPr>
                <w:b w:val="0"/>
                <w:color w:val="000000"/>
                <w:sz w:val="20"/>
              </w:rPr>
              <w:t>Drawdown at observed valuations</w:t>
            </w:r>
          </w:p>
        </w:tc>
        <w:tc>
          <w:tcPr>
            <w:tcW w:type="dxa" w:w="1872"/>
            <w:vAlign w:val="center"/>
            <w:tcMar>
              <w:top w:w="80" w:type="dxa"/>
              <w:bottom w:w="80" w:type="dxa"/>
              <w:left w:w="100" w:type="dxa"/>
              <w:right w:w="100" w:type="dxa"/>
            </w:tcMar>
            <w:shd w:fill="FFFFFF"/>
          </w:tcPr>
          <w:p>
            <w:pPr>
              <w:spacing w:after="0" w:line="247" w:lineRule="auto"/>
              <w:jc w:val="center"/>
            </w:pPr>
            <w:r>
              <w:rPr>
                <w:b w:val="0"/>
                <w:color w:val="000000"/>
                <w:sz w:val="20"/>
              </w:rPr>
              <w:t>-0.82%</w:t>
            </w:r>
          </w:p>
        </w:tc>
        <w:tc>
          <w:tcPr>
            <w:tcW w:type="dxa" w:w="5328"/>
            <w:vAlign w:val="center"/>
            <w:tcMar>
              <w:top w:w="80" w:type="dxa"/>
              <w:bottom w:w="80" w:type="dxa"/>
              <w:left w:w="100" w:type="dxa"/>
              <w:right w:w="100" w:type="dxa"/>
            </w:tcMar>
            <w:shd w:fill="FFFFFF"/>
          </w:tcPr>
          <w:p>
            <w:pPr>
              <w:spacing w:after="0" w:line="247" w:lineRule="auto"/>
            </w:pPr>
            <w:r>
              <w:rPr>
                <w:b w:val="0"/>
                <w:color w:val="000000"/>
                <w:sz w:val="20"/>
              </w:rPr>
              <w:t>Does not capture every daily or intraday loss.</w:t>
            </w:r>
          </w:p>
        </w:tc>
      </w:tr>
      <w:tr>
        <w:trPr>
          <w:cantSplit/>
        </w:trPr>
        <w:tc>
          <w:tcPr>
            <w:tcW w:type="dxa" w:w="2880"/>
            <w:vAlign w:val="center"/>
            <w:tcMar>
              <w:top w:w="80" w:type="dxa"/>
              <w:bottom w:w="80" w:type="dxa"/>
              <w:left w:w="100" w:type="dxa"/>
              <w:right w:w="100" w:type="dxa"/>
            </w:tcMar>
            <w:shd w:fill="FFFFFF"/>
          </w:tcPr>
          <w:p>
            <w:pPr>
              <w:spacing w:after="0" w:line="247" w:lineRule="auto"/>
            </w:pPr>
            <w:r>
              <w:rPr>
                <w:b w:val="0"/>
                <w:color w:val="000000"/>
                <w:sz w:val="20"/>
              </w:rPr>
              <w:t>Visible end-period assets</w:t>
            </w:r>
          </w:p>
        </w:tc>
        <w:tc>
          <w:tcPr>
            <w:tcW w:type="dxa" w:w="1872"/>
            <w:vAlign w:val="center"/>
            <w:tcMar>
              <w:top w:w="80" w:type="dxa"/>
              <w:bottom w:w="80" w:type="dxa"/>
              <w:left w:w="100" w:type="dxa"/>
              <w:right w:w="100" w:type="dxa"/>
            </w:tcMar>
            <w:shd w:fill="FFFFFF"/>
          </w:tcPr>
          <w:p>
            <w:pPr>
              <w:spacing w:after="0" w:line="247" w:lineRule="auto"/>
              <w:jc w:val="center"/>
            </w:pPr>
            <w:r>
              <w:rPr>
                <w:b w:val="0"/>
                <w:color w:val="000000"/>
                <w:sz w:val="20"/>
              </w:rPr>
              <w:t>187.7m USDC</w:t>
            </w:r>
          </w:p>
        </w:tc>
        <w:tc>
          <w:tcPr>
            <w:tcW w:type="dxa" w:w="5328"/>
            <w:vAlign w:val="center"/>
            <w:tcMar>
              <w:top w:w="80" w:type="dxa"/>
              <w:bottom w:w="80" w:type="dxa"/>
              <w:left w:w="100" w:type="dxa"/>
              <w:right w:w="100" w:type="dxa"/>
            </w:tcMar>
            <w:shd w:fill="FFFFFF"/>
          </w:tcPr>
          <w:p>
            <w:pPr>
              <w:spacing w:after="0" w:line="247" w:lineRule="auto"/>
            </w:pPr>
            <w:r>
              <w:rPr>
                <w:b w:val="0"/>
                <w:color w:val="000000"/>
                <w:sz w:val="20"/>
              </w:rPr>
              <w:t>Parent value includes owned vault balances; not manager AUM.</w:t>
            </w:r>
          </w:p>
        </w:tc>
      </w:tr>
      <w:tr>
        <w:trPr>
          <w:cantSplit/>
        </w:trPr>
        <w:tc>
          <w:tcPr>
            <w:tcW w:type="dxa" w:w="2880"/>
            <w:vAlign w:val="center"/>
            <w:tcMar>
              <w:top w:w="80" w:type="dxa"/>
              <w:bottom w:w="80" w:type="dxa"/>
              <w:left w:w="100" w:type="dxa"/>
              <w:right w:w="100" w:type="dxa"/>
            </w:tcMar>
            <w:shd w:fill="FFFFFF"/>
          </w:tcPr>
          <w:p>
            <w:pPr>
              <w:spacing w:after="0" w:line="247" w:lineRule="auto"/>
            </w:pPr>
            <w:r>
              <w:rPr>
                <w:b w:val="0"/>
                <w:color w:val="000000"/>
                <w:sz w:val="20"/>
              </w:rPr>
              <w:t>Two strongest intervals</w:t>
            </w:r>
          </w:p>
        </w:tc>
        <w:tc>
          <w:tcPr>
            <w:tcW w:type="dxa" w:w="1872"/>
            <w:vAlign w:val="center"/>
            <w:tcMar>
              <w:top w:w="80" w:type="dxa"/>
              <w:bottom w:w="80" w:type="dxa"/>
              <w:left w:w="100" w:type="dxa"/>
              <w:right w:w="100" w:type="dxa"/>
            </w:tcMar>
            <w:shd w:fill="FFFFFF"/>
          </w:tcPr>
          <w:p>
            <w:pPr>
              <w:spacing w:after="0" w:line="247" w:lineRule="auto"/>
              <w:jc w:val="center"/>
            </w:pPr>
            <w:r>
              <w:rPr>
                <w:b w:val="0"/>
                <w:color w:val="000000"/>
                <w:sz w:val="20"/>
              </w:rPr>
              <w:t>94.9%</w:t>
            </w:r>
          </w:p>
        </w:tc>
        <w:tc>
          <w:tcPr>
            <w:tcW w:type="dxa" w:w="5328"/>
            <w:vAlign w:val="center"/>
            <w:tcMar>
              <w:top w:w="80" w:type="dxa"/>
              <w:bottom w:w="80" w:type="dxa"/>
              <w:left w:w="100" w:type="dxa"/>
              <w:right w:w="100" w:type="dxa"/>
            </w:tcMar>
            <w:shd w:fill="FFFFFF"/>
          </w:tcPr>
          <w:p>
            <w:pPr>
              <w:spacing w:after="0" w:line="247" w:lineRule="auto"/>
            </w:pPr>
            <w:r>
              <w:rPr>
                <w:b w:val="0"/>
                <w:color w:val="000000"/>
                <w:sz w:val="20"/>
              </w:rPr>
              <w:t>Share of cumulative log return; intervals, not days.</w:t>
            </w:r>
          </w:p>
        </w:tc>
      </w:tr>
    </w:tbl>
    <w:p>
      <w:pPr>
        <w:keepNext w:val="0"/>
        <w:widowControl/>
        <w:spacing w:after="40"/>
      </w:pPr>
      <w:r>
        <w:rPr>
          <w:b w:val="0"/>
        </w:rPr>
      </w:r>
    </w:p>
    <w:p>
      <w:pPr>
        <w:pStyle w:val="Heading2"/>
        <w:keepNext/>
        <w:widowControl/>
        <w:spacing w:after="60" w:before="160"/>
      </w:pPr>
      <w:r>
        <w:rPr>
          <w:b w:val="0"/>
          <w:sz w:val="24"/>
        </w:rPr>
        <w:t>Supporting evidence</w:t>
      </w:r>
    </w:p>
    <w:p>
      <w:pPr>
        <w:keepNext w:val="0"/>
        <w:widowControl/>
        <w:spacing w:after="100"/>
      </w:pPr>
      <w:r>
        <w:rPr>
          <w:b w:val="0"/>
          <w:sz w:val="21"/>
        </w:rPr>
        <w:t>The completed ledger query classifies 115,522 events. Internal vault reallocations are excluded from external flows, and child equity is not counted twice. Reconstructed and reported cumulative profit differ by 139.95 USDC; the residual remains disclosed. [1, 5]</w:t>
      </w:r>
    </w:p>
    <w:p>
      <w:pPr>
        <w:pStyle w:val="Heading2"/>
        <w:keepNext/>
        <w:widowControl/>
        <w:spacing w:after="60" w:before="160"/>
      </w:pPr>
      <w:r>
        <w:rPr>
          <w:b w:val="0"/>
          <w:sz w:val="24"/>
        </w:rPr>
        <w:t>Counterevidence</w:t>
      </w:r>
    </w:p>
    <w:p>
      <w:pPr>
        <w:keepNext w:val="0"/>
        <w:widowControl/>
        <w:spacing w:after="100"/>
      </w:pPr>
      <w:r>
        <w:rPr>
          <w:b w:val="0"/>
          <w:sz w:val="21"/>
        </w:rPr>
        <w:t>Return concentration weakens a steady-income interpretation. Sparse valuations restrict tail-risk inference. Net external outflows of 477.8m USDC between valuation endpoints warrant liquidity review; withdrawal motives remain unverified. [1]</w:t>
      </w:r>
    </w:p>
    <w:p>
      <w:pPr>
        <w:pStyle w:val="Heading2"/>
        <w:keepNext/>
        <w:widowControl/>
        <w:spacing w:after="60" w:before="160"/>
      </w:pPr>
      <w:r>
        <w:rPr>
          <w:b w:val="0"/>
          <w:sz w:val="24"/>
        </w:rPr>
        <w:t>Unresolved questions</w:t>
      </w:r>
    </w:p>
    <w:p>
      <w:pPr>
        <w:keepNext w:val="0"/>
        <w:widowControl/>
        <w:spacing w:after="100"/>
      </w:pPr>
      <w:r>
        <w:rPr>
          <w:b w:val="0"/>
          <w:sz w:val="21"/>
        </w:rPr>
        <w:t>Historical activation and contribution of each income mechanism; intraday exposures and collateral; accountable strategy and risk operators; tested incident response; effective permissions and withdrawal rules. Current four-day deposit lockup documentation is not proof of unchanged historical terms. [2]</w:t>
      </w:r>
    </w:p>
    <w:p>
      <w:pPr>
        <w:pStyle w:val="Heading2"/>
        <w:keepNext/>
        <w:widowControl/>
        <w:spacing w:after="60" w:before="160"/>
      </w:pPr>
      <w:r>
        <w:rPr>
          <w:b w:val="0"/>
          <w:sz w:val="24"/>
        </w:rPr>
        <w:t>Conditions for further diligence</w:t>
      </w:r>
    </w:p>
    <w:p>
      <w:pPr>
        <w:keepNext w:val="0"/>
        <w:widowControl/>
        <w:spacing w:after="100"/>
      </w:pPr>
      <w:r>
        <w:rPr>
          <w:b w:val="0"/>
          <w:sz w:val="21"/>
        </w:rPr>
        <w:t>Reconcile finer valuations and positions; attribute the two strongest intervals; obtain dated mechanism and governance records; verify risk limits, emergency actions and withdrawals. Preserve unexplained PnL. Failure to resolve material contradictions keeps the case on hold; no allocation approval follows from this card.</w:t>
      </w:r>
    </w:p>
    <w:p>
      <w:pPr>
        <w:keepNext w:val="0"/>
        <w:widowControl/>
        <w:spacing w:after="0"/>
      </w:pPr>
      <w:r>
        <w:rPr>
          <w:b w:val="0"/>
          <w:color w:val="555555"/>
          <w:sz w:val="18"/>
        </w:rPr>
        <w:t>Review owner: unassigned | Next review: on material new evidence | All numerical findings: Section 5 frozen calculation [1]</w:t>
      </w:r>
    </w:p>
    <w:p>
      <w:r>
        <w:br w:type="page"/>
      </w:r>
    </w:p>
    <w:p>
      <w:pPr>
        <w:pStyle w:val="Title"/>
        <w:keepNext w:val="0"/>
        <w:widowControl/>
        <w:spacing w:after="100"/>
      </w:pPr>
      <w:r>
        <w:rPr>
          <w:b w:val="0"/>
        </w:rPr>
        <w:t>Sources and evidence register</w:t>
      </w:r>
    </w:p>
    <w:p>
      <w:pPr>
        <w:keepNext w:val="0"/>
        <w:widowControl/>
        <w:spacing w:after="260"/>
      </w:pPr>
      <w:r>
        <w:rPr>
          <w:b w:val="0"/>
          <w:color w:val="555555"/>
          <w:sz w:val="20"/>
        </w:rPr>
        <w:t>Supplement C | Source scope, historical applicability and review discipline</w:t>
      </w:r>
    </w:p>
    <w:p>
      <w:pPr>
        <w:keepNext/>
        <w:widowControl/>
        <w:spacing w:after="80"/>
      </w:pPr>
      <w:r>
        <w:rPr>
          <w:b w:val="0"/>
        </w:rPr>
      </w:r>
      <w:r>
        <w:rPr>
          <w:b/>
        </w:rPr>
        <w:t>[1] Section 5 frozen calculations</w:t>
      </w:r>
    </w:p>
    <w:p>
      <w:pPr>
        <w:keepNext w:val="0"/>
        <w:widowControl/>
        <w:spacing w:after="200"/>
      </w:pPr>
      <w:r>
        <w:rPr>
          <w:b w:val="0"/>
          <w:sz w:val="21"/>
        </w:rPr>
        <w:t>audit_summary.json and Report_Section_05_Updated.md in the completed HLP figure package. The ledger query finished on 11 September 2026. Numeric card entries reproduce this analysis; they are not an external audit opinion. The return series uses 48 irregular valuations and 47 return intervals.</w:t>
      </w:r>
    </w:p>
    <w:p>
      <w:pPr>
        <w:keepNext/>
        <w:widowControl/>
        <w:spacing w:after="80"/>
      </w:pPr>
      <w:r>
        <w:rPr>
          <w:b w:val="0"/>
        </w:rPr>
      </w:r>
      <w:hyperlink r:id="rId10">
        <w:r>
          <w:rPr>
            <w:color w:val="245A81"/>
          </w:rPr>
          <w:t>[2] Hyperliquid Protocol vaults</w:t>
        </w:r>
      </w:hyperlink>
    </w:p>
    <w:p>
      <w:pPr>
        <w:keepNext w:val="0"/>
        <w:widowControl/>
        <w:spacing w:after="200"/>
      </w:pPr>
      <w:r>
        <w:rPr>
          <w:b w:val="0"/>
          <w:sz w:val="21"/>
        </w:rPr>
        <w:t>Current description covers market making, liquidations, USDC supplied to Earn and trading-fee participation. It identifies HLP as a protocol vault and states the deposit lockup. Historical effective versions and component-level receipts still require verification.</w:t>
      </w:r>
    </w:p>
    <w:p>
      <w:pPr>
        <w:keepNext/>
        <w:widowControl/>
        <w:spacing w:after="80"/>
      </w:pPr>
      <w:r>
        <w:rPr>
          <w:b w:val="0"/>
        </w:rPr>
      </w:r>
      <w:hyperlink r:id="rId11">
        <w:r>
          <w:rPr>
            <w:color w:val="245A81"/>
          </w:rPr>
          <w:t>[3] Hyperliquid Nonces and API wallets</w:t>
        </w:r>
      </w:hyperlink>
    </w:p>
    <w:p>
      <w:pPr>
        <w:keepNext w:val="0"/>
        <w:widowControl/>
        <w:spacing w:after="200"/>
      </w:pPr>
      <w:r>
        <w:rPr>
          <w:b w:val="0"/>
          <w:sz w:val="21"/>
        </w:rPr>
        <w:t>Signing-agent addresses and economic account addresses must be distinguished. Account queries should use the actual master or subaccount address; an empty agent-address query does not establish zero assets.</w:t>
      </w:r>
    </w:p>
    <w:p>
      <w:pPr>
        <w:keepNext/>
        <w:widowControl/>
        <w:spacing w:after="80"/>
      </w:pPr>
      <w:r>
        <w:rPr>
          <w:b w:val="0"/>
        </w:rPr>
      </w:r>
      <w:hyperlink r:id="rId12">
        <w:r>
          <w:rPr>
            <w:color w:val="245A81"/>
          </w:rPr>
          <w:t>[4] Hyperliquid Vaults</w:t>
        </w:r>
      </w:hyperlink>
    </w:p>
    <w:p>
      <w:pPr>
        <w:keepNext w:val="0"/>
        <w:widowControl/>
        <w:spacing w:after="200"/>
      </w:pPr>
      <w:r>
        <w:rPr>
          <w:b w:val="0"/>
          <w:sz w:val="21"/>
        </w:rPr>
        <w:t>Current documentation distinguishes customizable HyperEVM vaults from legacy HyperCore vaults. Implementation, accounting, supported markets, delegations and upgrade authority therefore require object-specific verification.</w:t>
      </w:r>
    </w:p>
    <w:p>
      <w:pPr>
        <w:keepNext/>
        <w:widowControl/>
        <w:spacing w:after="80"/>
      </w:pPr>
      <w:r>
        <w:rPr>
          <w:b w:val="0"/>
        </w:rPr>
      </w:r>
      <w:hyperlink r:id="rId13">
        <w:r>
          <w:rPr>
            <w:color w:val="245A81"/>
          </w:rPr>
          <w:t>[5] Hyperliquid Portfolio graphs</w:t>
        </w:r>
      </w:hyperlink>
    </w:p>
    <w:p>
      <w:pPr>
        <w:keepNext w:val="0"/>
        <w:widowControl/>
        <w:spacing w:after="200"/>
      </w:pPr>
      <w:r>
        <w:rPr>
          <w:b w:val="0"/>
          <w:sz w:val="21"/>
        </w:rPr>
        <w:t>Account value includes vault balances. The official page cautions that sampled portfolio graphs are unsuitable for precise accounting between observations. This supports the scope and approximation limits on the research card.</w:t>
      </w:r>
    </w:p>
    <w:p>
      <w:pPr>
        <w:pStyle w:val="Heading2"/>
        <w:keepNext/>
        <w:widowControl/>
        <w:spacing w:after="100" w:before="160"/>
      </w:pPr>
      <w:r>
        <w:rPr>
          <w:b w:val="0"/>
          <w:sz w:val="24"/>
        </w:rPr>
        <w:t>Evidence handling</w:t>
      </w:r>
    </w:p>
    <w:p>
      <w:pPr>
        <w:keepNext w:val="0"/>
        <w:widowControl/>
        <w:spacing w:after="120"/>
      </w:pPr>
      <w:r>
        <w:rPr>
          <w:b w:val="0"/>
          <w:sz w:val="21"/>
        </w:rPr>
        <w:t>For each object, retain evidence ID, source, effective start and end, retrieval time in UTC, verification status, reviewer, issue, required next evidence, action owner and due date. Analyst inferences and model estimates remain separate from verified facts. A later document is not automatically evidence of the rules in force at the research cutoff.</w:t>
      </w:r>
    </w:p>
    <w:p>
      <w:pPr>
        <w:keepNext w:val="0"/>
        <w:widowControl/>
        <w:spacing w:after="120"/>
      </w:pPr>
      <w:r>
        <w:rPr>
          <w:b w:val="0"/>
          <w:sz w:val="21"/>
        </w:rPr>
        <w:t>Messari provides research context and questions for investigation; it cannot replace manager records, control demonstrations or interviews. This chapter requires no new Dune query or screenshot. The questionnaire is an original research instrument, not a completed institutional review.</w:t>
      </w:r>
    </w:p>
    <w:p>
      <w:pPr>
        <w:keepNext w:val="0"/>
        <w:widowControl/>
        <w:spacing w:after="0"/>
      </w:pPr>
      <w:r>
        <w:rPr>
          <w:b w:val="0"/>
          <w:color w:val="555555"/>
          <w:sz w:val="20"/>
        </w:rPr>
        <w:t>The report text on page 1 is the proposed Section 9. Supplements A–C accompany the report separately and are not intended to expand its 3,000–4,000-word editorial body.</w:t>
      </w:r>
    </w:p>
    <w:sectPr w:rsidR="00FC693F" w:rsidRPr="0006063C" w:rsidSect="00034616">
      <w:footerReference w:type="default" r:id="rId9"/>
      <w:pgSz w:w="12240" w:h="15840"/>
      <w:pgMar w:top="893" w:right="1080" w:bottom="893"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Hyperliquid research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Calibri" w:hAnsi="Calibr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yperliquid.gitbook.io/hyperliquid-docs/hypercore/vaults/protocol-vaults" TargetMode="External"/><Relationship Id="rId11" Type="http://schemas.openxmlformats.org/officeDocument/2006/relationships/hyperlink" Target="https://hyperliquid.gitbook.io/hyperliquid-docs/for-developers/api/nonces-and-api-wallets" TargetMode="External"/><Relationship Id="rId12" Type="http://schemas.openxmlformats.org/officeDocument/2006/relationships/hyperlink" Target="https://hyperliquid.gitbook.io/hyperliquid-docs/hypercore/vaults" TargetMode="External"/><Relationship Id="rId13" Type="http://schemas.openxmlformats.org/officeDocument/2006/relationships/hyperlink" Target="https://hyperliquid.gitbook.io/hyperliquid-docs/trading/portfolio-graph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Hyperliquid manager due diligence</dc:title>
  <dc:subject>Section 9 with a manager DDQ and an HLP protocol vault research card</dc:subject>
  <dc:creator/>
  <cp:keywords>Hyperliquid, HLP, manager research, due diligence</cp:keywords>
  <dc:description>generated by python-docx</dc:description>
  <cp:lastModifiedBy/>
  <cp:revision>1</cp:revision>
  <dcterms:created xsi:type="dcterms:W3CDTF">2013-12-23T23:15:00Z</dcterms:created>
  <dcterms:modified xsi:type="dcterms:W3CDTF">2013-12-23T23:15:00Z</dcterms:modified>
  <cp:category/>
</cp:coreProperties>
</file>