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after="100"/>
      </w:pPr>
      <w:r>
        <w:rPr>
          <w:b w:val="0"/>
        </w:rPr>
        <w:t>10 Monitoring and breach response</w:t>
      </w:r>
    </w:p>
    <w:p>
      <w:pPr>
        <w:keepNext w:val="0"/>
        <w:widowControl/>
        <w:spacing w:after="260"/>
      </w:pPr>
      <w:r>
        <w:rPr>
          <w:b w:val="0"/>
          <w:color w:val="555555"/>
          <w:sz w:val="20"/>
        </w:rPr>
        <w:t>Research cutoff 31 August 2026 UTC | Proposed controls and simulated incident</w:t>
      </w:r>
    </w:p>
    <w:p>
      <w:pPr>
        <w:keepNext w:val="0"/>
        <w:widowControl/>
        <w:spacing w:after="120"/>
      </w:pPr>
      <w:r>
        <w:rPr>
          <w:b w:val="0"/>
        </w:rPr>
        <w:t>Monitoring is specified by account, strategy and underlying asset, with verified operator permissions. This is a proposed framework, not an operated SMA service. Public HLP observations support research escalation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02"/>
        <w:gridCol w:w="4291"/>
      </w:tblGrid>
      <w:tr>
        <w:trPr>
          <w:cantSplit/>
          <w:tblHeader/>
        </w:trPr>
        <w:tc>
          <w:tcPr>
            <w:tcW w:type="dxa" w:w="1987"/>
            <w:vAlign w:val="center"/>
            <w:tcMar>
              <w:top w:w="80" w:type="dxa"/>
              <w:bottom w:w="80" w:type="dxa"/>
              <w:left w:w="100" w:type="dxa"/>
              <w:right w:w="100" w:type="dxa"/>
            </w:tcMar>
            <w:shd w:fill="DFE9EF"/>
          </w:tcPr>
          <w:p>
            <w:pPr>
              <w:spacing w:after="0" w:line="247" w:lineRule="auto"/>
            </w:pPr>
            <w:r>
              <w:rPr>
                <w:b/>
                <w:color w:val="000000"/>
                <w:sz w:val="20"/>
              </w:rPr>
              <w:t>Category</w:t>
            </w:r>
          </w:p>
        </w:tc>
        <w:tc>
          <w:tcPr>
            <w:tcW w:type="dxa" w:w="3802"/>
            <w:vAlign w:val="center"/>
            <w:tcMar>
              <w:top w:w="80" w:type="dxa"/>
              <w:bottom w:w="80" w:type="dxa"/>
              <w:left w:w="100" w:type="dxa"/>
              <w:right w:w="100" w:type="dxa"/>
            </w:tcMar>
            <w:shd w:fill="DFE9EF"/>
          </w:tcPr>
          <w:p>
            <w:pPr>
              <w:spacing w:after="0" w:line="247" w:lineRule="auto"/>
            </w:pPr>
            <w:r>
              <w:rPr>
                <w:b/>
                <w:color w:val="000000"/>
                <w:sz w:val="20"/>
              </w:rPr>
              <w:t>Indicators</w:t>
            </w:r>
          </w:p>
        </w:tc>
        <w:tc>
          <w:tcPr>
            <w:tcW w:type="dxa" w:w="4291"/>
            <w:vAlign w:val="center"/>
            <w:tcMar>
              <w:top w:w="80" w:type="dxa"/>
              <w:bottom w:w="80" w:type="dxa"/>
              <w:left w:w="100" w:type="dxa"/>
              <w:right w:w="100" w:type="dxa"/>
            </w:tcMar>
            <w:shd w:fill="DFE9EF"/>
          </w:tcPr>
          <w:p>
            <w:pPr>
              <w:spacing w:after="0" w:line="247" w:lineRule="auto"/>
            </w:pPr>
            <w:r>
              <w:rPr>
                <w:b/>
                <w:color w:val="000000"/>
                <w:sz w:val="20"/>
              </w:rPr>
              <w:t>Investigation question</w:t>
            </w:r>
          </w:p>
        </w:tc>
      </w:tr>
      <w:tr>
        <w:trPr>
          <w:cantSplit/>
        </w:trPr>
        <w:tc>
          <w:tcPr>
            <w:tcW w:type="dxa" w:w="1987"/>
            <w:vAlign w:val="center"/>
            <w:tcMar>
              <w:top w:w="80" w:type="dxa"/>
              <w:bottom w:w="80" w:type="dxa"/>
              <w:left w:w="100" w:type="dxa"/>
              <w:right w:w="100" w:type="dxa"/>
            </w:tcMar>
            <w:shd w:fill="FFFFFF"/>
          </w:tcPr>
          <w:p>
            <w:pPr>
              <w:spacing w:after="0" w:line="247" w:lineRule="auto"/>
            </w:pPr>
            <w:r>
              <w:rPr>
                <w:b w:val="0"/>
                <w:color w:val="000000"/>
                <w:sz w:val="20"/>
              </w:rPr>
              <w:t>Hedge and direction</w:t>
            </w:r>
          </w:p>
        </w:tc>
        <w:tc>
          <w:tcPr>
            <w:tcW w:type="dxa" w:w="3802"/>
            <w:vAlign w:val="center"/>
            <w:tcMar>
              <w:top w:w="80" w:type="dxa"/>
              <w:bottom w:w="80" w:type="dxa"/>
              <w:left w:w="100" w:type="dxa"/>
              <w:right w:w="100" w:type="dxa"/>
            </w:tcMar>
            <w:shd w:fill="FFFFFF"/>
          </w:tcPr>
          <w:p>
            <w:pPr>
              <w:spacing w:after="0" w:line="247" w:lineRule="auto"/>
            </w:pPr>
            <w:r>
              <w:rPr>
                <w:b w:val="0"/>
                <w:color w:val="000000"/>
                <w:sz w:val="20"/>
              </w:rPr>
              <w:t>Net/gross exposure by asset; beta</w:t>
            </w:r>
          </w:p>
        </w:tc>
        <w:tc>
          <w:tcPr>
            <w:tcW w:type="dxa" w:w="4291"/>
            <w:vAlign w:val="center"/>
            <w:tcMar>
              <w:top w:w="80" w:type="dxa"/>
              <w:bottom w:w="80" w:type="dxa"/>
              <w:left w:w="100" w:type="dxa"/>
              <w:right w:w="100" w:type="dxa"/>
            </w:tcMar>
            <w:shd w:fill="FFFFFF"/>
          </w:tcPr>
          <w:p>
            <w:pPr>
              <w:spacing w:after="0" w:line="247" w:lineRule="auto"/>
            </w:pPr>
            <w:r>
              <w:rPr>
                <w:b w:val="0"/>
                <w:color w:val="000000"/>
                <w:sz w:val="20"/>
              </w:rPr>
              <w:t>Failed hedge or unintended direction?</w:t>
            </w:r>
          </w:p>
        </w:tc>
      </w:tr>
      <w:tr>
        <w:trPr>
          <w:cantSplit/>
        </w:trPr>
        <w:tc>
          <w:tcPr>
            <w:tcW w:type="dxa" w:w="1987"/>
            <w:vAlign w:val="center"/>
            <w:tcMar>
              <w:top w:w="80" w:type="dxa"/>
              <w:bottom w:w="80" w:type="dxa"/>
              <w:left w:w="100" w:type="dxa"/>
              <w:right w:w="100" w:type="dxa"/>
            </w:tcMar>
            <w:shd w:fill="FFFFFF"/>
          </w:tcPr>
          <w:p>
            <w:pPr>
              <w:spacing w:after="0" w:line="247" w:lineRule="auto"/>
            </w:pPr>
            <w:r>
              <w:rPr>
                <w:b w:val="0"/>
                <w:color w:val="000000"/>
                <w:sz w:val="20"/>
              </w:rPr>
              <w:t>Margin</w:t>
            </w:r>
          </w:p>
        </w:tc>
        <w:tc>
          <w:tcPr>
            <w:tcW w:type="dxa" w:w="3802"/>
            <w:vAlign w:val="center"/>
            <w:tcMar>
              <w:top w:w="80" w:type="dxa"/>
              <w:bottom w:w="80" w:type="dxa"/>
              <w:left w:w="100" w:type="dxa"/>
              <w:right w:w="100" w:type="dxa"/>
            </w:tcMar>
            <w:shd w:fill="FFFFFF"/>
          </w:tcPr>
          <w:p>
            <w:pPr>
              <w:spacing w:after="0" w:line="247" w:lineRule="auto"/>
            </w:pPr>
            <w:r>
              <w:rPr>
                <w:b w:val="0"/>
                <w:color w:val="000000"/>
                <w:sz w:val="20"/>
              </w:rPr>
              <w:t>Maintenance headroom; eligible collateral</w:t>
            </w:r>
          </w:p>
        </w:tc>
        <w:tc>
          <w:tcPr>
            <w:tcW w:type="dxa" w:w="4291"/>
            <w:vAlign w:val="center"/>
            <w:tcMar>
              <w:top w:w="80" w:type="dxa"/>
              <w:bottom w:w="80" w:type="dxa"/>
              <w:left w:w="100" w:type="dxa"/>
              <w:right w:w="100" w:type="dxa"/>
            </w:tcMar>
            <w:shd w:fill="FFFFFF"/>
          </w:tcPr>
          <w:p>
            <w:pPr>
              <w:spacing w:after="0" w:line="247" w:lineRule="auto"/>
            </w:pPr>
            <w:r>
              <w:rPr>
                <w:b w:val="0"/>
                <w:color w:val="000000"/>
                <w:sz w:val="20"/>
              </w:rPr>
              <w:t>Stressed shortfall or blocked transfer?</w:t>
            </w:r>
          </w:p>
        </w:tc>
      </w:tr>
      <w:tr>
        <w:trPr>
          <w:cantSplit/>
        </w:trPr>
        <w:tc>
          <w:tcPr>
            <w:tcW w:type="dxa" w:w="1987"/>
            <w:vAlign w:val="center"/>
            <w:tcMar>
              <w:top w:w="80" w:type="dxa"/>
              <w:bottom w:w="80" w:type="dxa"/>
              <w:left w:w="100" w:type="dxa"/>
              <w:right w:w="100" w:type="dxa"/>
            </w:tcMar>
            <w:shd w:fill="FFFFFF"/>
          </w:tcPr>
          <w:p>
            <w:pPr>
              <w:spacing w:after="0" w:line="247" w:lineRule="auto"/>
            </w:pPr>
            <w:r>
              <w:rPr>
                <w:b w:val="0"/>
                <w:color w:val="000000"/>
                <w:sz w:val="20"/>
              </w:rPr>
              <w:t>Execution</w:t>
            </w:r>
          </w:p>
        </w:tc>
        <w:tc>
          <w:tcPr>
            <w:tcW w:type="dxa" w:w="3802"/>
            <w:vAlign w:val="center"/>
            <w:tcMar>
              <w:top w:w="80" w:type="dxa"/>
              <w:bottom w:w="80" w:type="dxa"/>
              <w:left w:w="100" w:type="dxa"/>
              <w:right w:w="100" w:type="dxa"/>
            </w:tcMar>
            <w:shd w:fill="FFFFFF"/>
          </w:tcPr>
          <w:p>
            <w:pPr>
              <w:spacing w:after="0" w:line="247" w:lineRule="auto"/>
            </w:pPr>
            <w:r>
              <w:rPr>
                <w:b w:val="0"/>
                <w:color w:val="000000"/>
                <w:sz w:val="20"/>
              </w:rPr>
              <w:t>Slippage; rejections; unhedged duration</w:t>
            </w:r>
          </w:p>
        </w:tc>
        <w:tc>
          <w:tcPr>
            <w:tcW w:type="dxa" w:w="4291"/>
            <w:vAlign w:val="center"/>
            <w:tcMar>
              <w:top w:w="80" w:type="dxa"/>
              <w:bottom w:w="80" w:type="dxa"/>
              <w:left w:w="100" w:type="dxa"/>
              <w:right w:w="100" w:type="dxa"/>
            </w:tcMar>
            <w:shd w:fill="FFFFFF"/>
          </w:tcPr>
          <w:p>
            <w:pPr>
              <w:spacing w:after="0" w:line="247" w:lineRule="auto"/>
            </w:pPr>
            <w:r>
              <w:rPr>
                <w:b w:val="0"/>
                <w:color w:val="000000"/>
                <w:sz w:val="20"/>
              </w:rPr>
              <w:t>Liquidity shock or infrastructure failure?</w:t>
            </w:r>
          </w:p>
        </w:tc>
      </w:tr>
      <w:tr>
        <w:trPr>
          <w:cantSplit/>
        </w:trPr>
        <w:tc>
          <w:tcPr>
            <w:tcW w:type="dxa" w:w="1987"/>
            <w:vAlign w:val="center"/>
            <w:tcMar>
              <w:top w:w="80" w:type="dxa"/>
              <w:bottom w:w="80" w:type="dxa"/>
              <w:left w:w="100" w:type="dxa"/>
              <w:right w:w="100" w:type="dxa"/>
            </w:tcMar>
            <w:shd w:fill="FFFFFF"/>
          </w:tcPr>
          <w:p>
            <w:pPr>
              <w:spacing w:after="0" w:line="247" w:lineRule="auto"/>
            </w:pPr>
            <w:r>
              <w:rPr>
                <w:b w:val="0"/>
                <w:color w:val="000000"/>
                <w:sz w:val="20"/>
              </w:rPr>
              <w:t>Performance and style</w:t>
            </w:r>
          </w:p>
        </w:tc>
        <w:tc>
          <w:tcPr>
            <w:tcW w:type="dxa" w:w="3802"/>
            <w:vAlign w:val="center"/>
            <w:tcMar>
              <w:top w:w="80" w:type="dxa"/>
              <w:bottom w:w="80" w:type="dxa"/>
              <w:left w:w="100" w:type="dxa"/>
              <w:right w:w="100" w:type="dxa"/>
            </w:tcMar>
            <w:shd w:fill="FFFFFF"/>
          </w:tcPr>
          <w:p>
            <w:pPr>
              <w:spacing w:after="0" w:line="247" w:lineRule="auto"/>
            </w:pPr>
            <w:r>
              <w:rPr>
                <w:b w:val="0"/>
                <w:color w:val="000000"/>
                <w:sz w:val="20"/>
              </w:rPr>
              <w:t>Drawdown; PnL residual; concentration</w:t>
            </w:r>
          </w:p>
        </w:tc>
        <w:tc>
          <w:tcPr>
            <w:tcW w:type="dxa" w:w="4291"/>
            <w:vAlign w:val="center"/>
            <w:tcMar>
              <w:top w:w="80" w:type="dxa"/>
              <w:bottom w:w="80" w:type="dxa"/>
              <w:left w:w="100" w:type="dxa"/>
              <w:right w:w="100" w:type="dxa"/>
            </w:tcMar>
            <w:shd w:fill="FFFFFF"/>
          </w:tcPr>
          <w:p>
            <w:pPr>
              <w:spacing w:after="0" w:line="247" w:lineRule="auto"/>
            </w:pPr>
            <w:r>
              <w:rPr>
                <w:b w:val="0"/>
                <w:color w:val="000000"/>
                <w:sz w:val="20"/>
              </w:rPr>
              <w:t>Expected loss or strategy drift?</w:t>
            </w:r>
          </w:p>
        </w:tc>
      </w:tr>
      <w:tr>
        <w:trPr>
          <w:cantSplit/>
        </w:trPr>
        <w:tc>
          <w:tcPr>
            <w:tcW w:type="dxa" w:w="1987"/>
            <w:vAlign w:val="center"/>
            <w:tcMar>
              <w:top w:w="80" w:type="dxa"/>
              <w:bottom w:w="80" w:type="dxa"/>
              <w:left w:w="100" w:type="dxa"/>
              <w:right w:w="100" w:type="dxa"/>
            </w:tcMar>
            <w:shd w:fill="FFFFFF"/>
          </w:tcPr>
          <w:p>
            <w:pPr>
              <w:spacing w:after="0" w:line="247" w:lineRule="auto"/>
            </w:pPr>
            <w:r>
              <w:rPr>
                <w:b w:val="0"/>
                <w:color w:val="000000"/>
                <w:sz w:val="20"/>
              </w:rPr>
              <w:t>Operations and data</w:t>
            </w:r>
          </w:p>
        </w:tc>
        <w:tc>
          <w:tcPr>
            <w:tcW w:type="dxa" w:w="3802"/>
            <w:vAlign w:val="center"/>
            <w:tcMar>
              <w:top w:w="80" w:type="dxa"/>
              <w:bottom w:w="80" w:type="dxa"/>
              <w:left w:w="100" w:type="dxa"/>
              <w:right w:w="100" w:type="dxa"/>
            </w:tcMar>
            <w:shd w:fill="FFFFFF"/>
          </w:tcPr>
          <w:p>
            <w:pPr>
              <w:spacing w:after="0" w:line="247" w:lineRule="auto"/>
            </w:pPr>
            <w:r>
              <w:rPr>
                <w:b w:val="0"/>
                <w:color w:val="000000"/>
                <w:sz w:val="20"/>
              </w:rPr>
              <w:t>Data age; reconciliation gaps; role/access changes</w:t>
            </w:r>
          </w:p>
        </w:tc>
        <w:tc>
          <w:tcPr>
            <w:tcW w:type="dxa" w:w="4291"/>
            <w:vAlign w:val="center"/>
            <w:tcMar>
              <w:top w:w="80" w:type="dxa"/>
              <w:bottom w:w="80" w:type="dxa"/>
              <w:left w:w="100" w:type="dxa"/>
              <w:right w:w="100" w:type="dxa"/>
            </w:tcMar>
            <w:shd w:fill="FFFFFF"/>
          </w:tcPr>
          <w:p>
            <w:pPr>
              <w:spacing w:after="0" w:line="247" w:lineRule="auto"/>
            </w:pPr>
            <w:r>
              <w:rPr>
                <w:b w:val="0"/>
                <w:color w:val="000000"/>
                <w:sz w:val="20"/>
              </w:rPr>
              <w:t>Restrict new risk or reopen due diligence?</w:t>
            </w:r>
          </w:p>
        </w:tc>
      </w:tr>
    </w:tbl>
    <w:p>
      <w:pPr>
        <w:keepNext w:val="0"/>
        <w:widowControl/>
        <w:spacing w:after="40"/>
      </w:pPr>
      <w:r>
        <w:rPr>
          <w:b w:val="0"/>
        </w:rPr>
      </w:r>
    </w:p>
    <w:p>
      <w:pPr>
        <w:keepNext w:val="0"/>
        <w:widowControl/>
        <w:spacing w:after="120"/>
      </w:pPr>
      <w:r>
        <w:rPr>
          <w:b w:val="0"/>
        </w:rPr>
        <w:t>Limits combine mandate constraints, historical behaviour, stress tests and false-alarm evaluation. Statistical alerts prompt investigation; confirmed hard breaches or unreliable data constrain new risk under predefined authority, with risk reduction requiring verified positions and an authorised execution route. Missing observations remain unknown. Margin is assessed within each collateral pool and account mode. [1, 2]</w:t>
      </w:r>
    </w:p>
    <w:p>
      <w:pPr>
        <w:keepNext w:val="0"/>
        <w:widowControl/>
        <w:spacing w:after="120"/>
      </w:pPr>
      <w:r>
        <w:rPr>
          <w:b w:val="0"/>
        </w:rPr>
        <w:t>SIMULATED INCIDENT. Assume 1m USDC of total allocated capital and an illustrative mandate allowing asset-level net exposure above 2% for at most 60 seconds during execution. An unmatched 40,000-USDC ETH-equivalent spot fill persists for 90 seconds after hedge rejections. Fresh positions and deduplicated fills establish the simulated 4% exposure; hypothetical gateway logs suggest nonce conflicts. Ask the operator to confirm signer sharing, failed safeguards and affected accounts. [3] Proposed response: suspend new entries, verify outstanding orders, then hedge through an authorised route or reduce the spot position within execution limits. The analyst documents the case; unresolved or material risk escalates to the risk owner and Head of Research. Closure requires reconciled positions, restored limits, tested remediation and independent restart approval. All quantities and thresholds are illustrative.</w:t>
      </w:r>
    </w:p>
    <w:p>
      <w:pPr>
        <w:keepNext w:val="0"/>
        <w:widowControl/>
        <w:spacing w:after="120"/>
      </w:pPr>
      <w:r>
        <w:rPr>
          <w:b w:val="0"/>
        </w:rPr>
        <w:t>Daily, reconcile balances, flows, fees, funding and PnL. Weekly, review strategy deviations, limit calibration and open incidents. Monthly, refresh the universe, including closures, visible assets, separately verified manager AUM, personnel and mandate changes. Critical events receive immediate review; scheduled reviews do not delay escalation. Each action retains an owner, deadline and closure evidence.</w:t>
      </w:r>
    </w:p>
    <w:p>
      <w:pPr>
        <w:keepNext w:val="0"/>
        <w:widowControl/>
        <w:spacing w:after="0"/>
      </w:pPr>
      <w:r>
        <w:rPr>
          <w:b w:val="0"/>
          <w:color w:val="555555"/>
          <w:sz w:val="18"/>
        </w:rPr>
        <w:t>References are on page 3. The following incident detail and data specification are supplementary material.</w:t>
      </w:r>
    </w:p>
    <w:p>
      <w:r>
        <w:br w:type="page"/>
      </w:r>
    </w:p>
    <w:p>
      <w:pPr>
        <w:pStyle w:val="Title"/>
        <w:keepNext w:val="0"/>
        <w:widowControl/>
        <w:spacing w:after="100"/>
      </w:pPr>
      <w:r>
        <w:rPr>
          <w:b w:val="0"/>
        </w:rPr>
        <w:t>Simulated hedge failure incident</w:t>
      </w:r>
    </w:p>
    <w:p>
      <w:pPr>
        <w:keepNext w:val="0"/>
        <w:widowControl/>
        <w:spacing w:after="260"/>
      </w:pPr>
      <w:r>
        <w:rPr>
          <w:b w:val="0"/>
          <w:color w:val="555555"/>
          <w:sz w:val="20"/>
        </w:rPr>
        <w:t>Supplement A | SIM-10-001 | Constructed exercise with no real account, trade or manager contact</w:t>
      </w:r>
    </w:p>
    <w:p>
      <w:pPr>
        <w:keepNext w:val="0"/>
        <w:widowControl/>
        <w:spacing w:after="120"/>
      </w:pPr>
      <w:r>
        <w:rPr>
          <w:b w:val="0"/>
          <w:sz w:val="21"/>
        </w:rPr>
        <w:t>Illustrative setup: a previously hedged ETH carry account with 1m USDC of total allocated capital, including spot assets, perpetual collateral and a cash buffer. An additional 40,000-USDC spot fill leaves 4% net long exposure. Economic spot/perpetual mapping is assumed verified for this exercise.</w:t>
      </w:r>
    </w:p>
    <w:p>
      <w:pPr>
        <w:keepNext w:val="0"/>
        <w:widowControl/>
        <w:spacing w:after="120"/>
      </w:pPr>
      <w:r>
        <w:rPr>
          <w:b w:val="0"/>
          <w:sz w:val="21"/>
        </w:rPr>
        <w:t>Illustrative hard rule: absolute net exposure in one asset may exceed 2% of the capital base for no more than 60 seconds during execution. This combined size-and-duration rule is not a Hyperliquid rule or a statistically calibrated recommendation.</w:t>
      </w:r>
    </w:p>
    <w:p>
      <w:pPr>
        <w:pStyle w:val="Heading2"/>
        <w:keepNext/>
        <w:widowControl/>
        <w:spacing w:after="60" w:before="160"/>
      </w:pPr>
      <w:r>
        <w:rPr>
          <w:b w:val="0"/>
          <w:sz w:val="24"/>
        </w:rPr>
        <w:t>1 Trigger record</w:t>
      </w:r>
    </w:p>
    <w:p>
      <w:pPr>
        <w:keepNext w:val="0"/>
        <w:widowControl/>
        <w:spacing w:after="100"/>
      </w:pPr>
      <w:r>
        <w:rPr>
          <w:b w:val="0"/>
          <w:sz w:val="21"/>
        </w:rPr>
        <w:t>At T+0, the unmatched spot fill starts an exposure warning and timer. At T+61 seconds, the assumed rule is breached; at T+90 the position remains unmatched. Preserve the rule version, account scope, capital base, exposure, event/receipt times, order references, outstanding orders and alert ownership.</w:t>
      </w:r>
    </w:p>
    <w:p>
      <w:pPr>
        <w:pStyle w:val="Heading2"/>
        <w:keepNext/>
        <w:widowControl/>
        <w:spacing w:after="60" w:before="160"/>
      </w:pPr>
      <w:r>
        <w:rPr>
          <w:b w:val="0"/>
          <w:sz w:val="24"/>
        </w:rPr>
        <w:t>2 Data checks</w:t>
      </w:r>
    </w:p>
    <w:p>
      <w:pPr>
        <w:keepNext w:val="0"/>
        <w:widowControl/>
        <w:spacing w:after="100"/>
      </w:pPr>
      <w:r>
        <w:rPr>
          <w:b w:val="0"/>
          <w:sz w:val="21"/>
        </w:rPr>
        <w:t>Verify actual economic account addresses, fresh spot balances and perpetual positions. Reconcile snapshots, fills and open orders; suppress duplicate replay events. Check clocks, instrument conversion, prices and any separate hedge accounts. An unfilled or rejected hedge is not a position. Lost observability is not a zero exposure.</w:t>
      </w:r>
    </w:p>
    <w:p>
      <w:pPr>
        <w:pStyle w:val="Heading2"/>
        <w:keepNext/>
        <w:widowControl/>
        <w:spacing w:after="60" w:before="160"/>
      </w:pPr>
      <w:r>
        <w:rPr>
          <w:b w:val="0"/>
          <w:sz w:val="24"/>
        </w:rPr>
        <w:t>3 Cause analysis</w:t>
      </w:r>
    </w:p>
    <w:p>
      <w:pPr>
        <w:keepNext w:val="0"/>
        <w:widowControl/>
        <w:spacing w:after="100"/>
      </w:pPr>
      <w:r>
        <w:rPr>
          <w:b w:val="0"/>
          <w:sz w:val="21"/>
        </w:rPr>
        <w:t>Hypothetical gateway logs suggest duplicate nonces from trading processes sharing a signer. Treat this as a working infrastructure hypothesis. Check collateral, fresh executable depth and exchange responses before excluding liquidity or margin causes; fills alone do not describe every failed submission.</w:t>
      </w:r>
    </w:p>
    <w:p>
      <w:pPr>
        <w:pStyle w:val="Heading2"/>
        <w:keepNext/>
        <w:widowControl/>
        <w:spacing w:after="60" w:before="160"/>
      </w:pPr>
      <w:r>
        <w:rPr>
          <w:b w:val="0"/>
          <w:sz w:val="24"/>
        </w:rPr>
        <w:t>4 Questions for the operator</w:t>
      </w:r>
    </w:p>
    <w:p>
      <w:pPr>
        <w:keepNext w:val="0"/>
        <w:widowControl/>
        <w:spacing w:after="100"/>
      </w:pPr>
      <w:r>
        <w:rPr>
          <w:b w:val="0"/>
          <w:sz w:val="21"/>
        </w:rPr>
        <w:t>Which processes shared the signer? Why did sequencing or retry controls fail? Were any hedge orders accepted with delayed acknowledgements? Are other accounts exposed, and is collateral available in the affected margin pool? No operator response is assumed in this exercise.</w:t>
      </w:r>
    </w:p>
    <w:p>
      <w:pPr>
        <w:pStyle w:val="Heading2"/>
        <w:keepNext/>
        <w:widowControl/>
        <w:spacing w:after="60" w:before="160"/>
      </w:pPr>
      <w:r>
        <w:rPr>
          <w:b w:val="0"/>
          <w:sz w:val="24"/>
        </w:rPr>
        <w:t>5 Proposed response and escalation</w:t>
      </w:r>
    </w:p>
    <w:p>
      <w:pPr>
        <w:keepNext w:val="0"/>
        <w:widowControl/>
        <w:spacing w:after="100"/>
      </w:pPr>
      <w:r>
        <w:rPr>
          <w:b w:val="0"/>
          <w:sz w:val="21"/>
        </w:rPr>
        <w:t>The analyst records the event and the authorised operator restricts entries and checks outstanding orders before further action. Hedge through a verified route if margin and execution limits permit; otherwise assess reducing the spot leg. Escalate persistent, repeated or material risk to independent risk and the Head of Research. A public observer cannot execute these controls on HLP.</w:t>
      </w:r>
    </w:p>
    <w:p>
      <w:pPr>
        <w:pStyle w:val="Heading2"/>
        <w:keepNext/>
        <w:widowControl/>
        <w:spacing w:after="60" w:before="160"/>
      </w:pPr>
      <w:r>
        <w:rPr>
          <w:b w:val="0"/>
          <w:sz w:val="24"/>
        </w:rPr>
        <w:t>6 Required closure evidence</w:t>
      </w:r>
    </w:p>
    <w:p>
      <w:pPr>
        <w:keepNext w:val="0"/>
        <w:widowControl/>
        <w:spacing w:after="100"/>
      </w:pPr>
      <w:r>
        <w:rPr>
          <w:b w:val="0"/>
          <w:sz w:val="21"/>
        </w:rPr>
        <w:t>Retain reconciled fills, cancellations and positions; applicable margin checks; exposure within limits for an agreed observation window; residual PnL explanations; a tested nonce-management fix; and independent approval to restart. Record temporary risk acceptance separately with an expiry. Exercise status: closure conditions specified, not observed as completed.</w:t>
      </w:r>
    </w:p>
    <w:p>
      <w:r>
        <w:br w:type="page"/>
      </w:r>
    </w:p>
    <w:p>
      <w:pPr>
        <w:pStyle w:val="Title"/>
        <w:keepNext w:val="0"/>
        <w:widowControl/>
        <w:spacing w:after="100"/>
      </w:pPr>
      <w:r>
        <w:rPr>
          <w:b w:val="0"/>
        </w:rPr>
        <w:t>Monitoring data and review schedule</w:t>
      </w:r>
    </w:p>
    <w:p>
      <w:pPr>
        <w:keepNext w:val="0"/>
        <w:widowControl/>
        <w:spacing w:after="260"/>
      </w:pPr>
      <w:r>
        <w:rPr>
          <w:b w:val="0"/>
          <w:color w:val="555555"/>
          <w:sz w:val="20"/>
        </w:rPr>
        <w:t>Supplement B | Data specification | Documentation checked 15 September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824"/>
        <w:gridCol w:w="3312"/>
      </w:tblGrid>
      <w:tr>
        <w:trPr>
          <w:cantSplit/>
          <w:tblHeader/>
        </w:trPr>
        <w:tc>
          <w:tcPr>
            <w:tcW w:type="dxa" w:w="1944"/>
            <w:vAlign w:val="center"/>
            <w:tcMar>
              <w:top w:w="80" w:type="dxa"/>
              <w:bottom w:w="80" w:type="dxa"/>
              <w:left w:w="100" w:type="dxa"/>
              <w:right w:w="100" w:type="dxa"/>
            </w:tcMar>
            <w:shd w:fill="DFE9EF"/>
          </w:tcPr>
          <w:p>
            <w:pPr>
              <w:spacing w:after="0" w:line="247" w:lineRule="auto"/>
            </w:pPr>
            <w:r>
              <w:rPr>
                <w:b/>
                <w:color w:val="000000"/>
                <w:sz w:val="20"/>
              </w:rPr>
              <w:t>Data required</w:t>
            </w:r>
          </w:p>
        </w:tc>
        <w:tc>
          <w:tcPr>
            <w:tcW w:type="dxa" w:w="4824"/>
            <w:vAlign w:val="center"/>
            <w:tcMar>
              <w:top w:w="80" w:type="dxa"/>
              <w:bottom w:w="80" w:type="dxa"/>
              <w:left w:w="100" w:type="dxa"/>
              <w:right w:w="100" w:type="dxa"/>
            </w:tcMar>
            <w:shd w:fill="DFE9EF"/>
          </w:tcPr>
          <w:p>
            <w:pPr>
              <w:spacing w:after="0" w:line="247" w:lineRule="auto"/>
            </w:pPr>
            <w:r>
              <w:rPr>
                <w:b/>
                <w:color w:val="000000"/>
                <w:sz w:val="20"/>
              </w:rPr>
              <w:t>Official feed or additional evidence</w:t>
            </w:r>
          </w:p>
        </w:tc>
        <w:tc>
          <w:tcPr>
            <w:tcW w:type="dxa" w:w="3312"/>
            <w:vAlign w:val="center"/>
            <w:tcMar>
              <w:top w:w="80" w:type="dxa"/>
              <w:bottom w:w="80" w:type="dxa"/>
              <w:left w:w="100" w:type="dxa"/>
              <w:right w:w="100" w:type="dxa"/>
            </w:tcMar>
            <w:shd w:fill="DFE9EF"/>
          </w:tcPr>
          <w:p>
            <w:pPr>
              <w:spacing w:after="0" w:line="247" w:lineRule="auto"/>
            </w:pPr>
            <w:r>
              <w:rPr>
                <w:b/>
                <w:color w:val="000000"/>
                <w:sz w:val="20"/>
              </w:rPr>
              <w:t>Proposed use</w:t>
            </w:r>
          </w:p>
        </w:tc>
      </w:tr>
      <w:tr>
        <w:trPr>
          <w:cantSplit/>
        </w:trPr>
        <w:tc>
          <w:tcPr>
            <w:tcW w:type="dxa" w:w="1944"/>
            <w:vAlign w:val="center"/>
            <w:tcMar>
              <w:top w:w="80" w:type="dxa"/>
              <w:bottom w:w="80" w:type="dxa"/>
              <w:left w:w="100" w:type="dxa"/>
              <w:right w:w="100" w:type="dxa"/>
            </w:tcMar>
            <w:shd w:fill="FFFFFF"/>
          </w:tcPr>
          <w:p>
            <w:pPr>
              <w:spacing w:after="0" w:line="247" w:lineRule="auto"/>
            </w:pPr>
            <w:r>
              <w:rPr>
                <w:b w:val="0"/>
                <w:color w:val="000000"/>
                <w:sz w:val="20"/>
              </w:rPr>
              <w:t>Positions and balances</w:t>
            </w:r>
          </w:p>
        </w:tc>
        <w:tc>
          <w:tcPr>
            <w:tcW w:type="dxa" w:w="4824"/>
            <w:vAlign w:val="center"/>
            <w:tcMar>
              <w:top w:w="80" w:type="dxa"/>
              <w:bottom w:w="80" w:type="dxa"/>
              <w:left w:w="100" w:type="dxa"/>
              <w:right w:w="100" w:type="dxa"/>
            </w:tcMar>
            <w:shd w:fill="FFFFFF"/>
          </w:tcPr>
          <w:p>
            <w:pPr>
              <w:spacing w:after="0" w:line="247" w:lineRule="auto"/>
            </w:pPr>
            <w:r>
              <w:rPr>
                <w:b w:val="0"/>
                <w:color w:val="000000"/>
                <w:sz w:val="20"/>
              </w:rPr>
              <w:t>clearinghouseState; spotClearinghouseState; account-mode and instrument mapping [1, 4]</w:t>
            </w:r>
          </w:p>
        </w:tc>
        <w:tc>
          <w:tcPr>
            <w:tcW w:type="dxa" w:w="3312"/>
            <w:vAlign w:val="center"/>
            <w:tcMar>
              <w:top w:w="80" w:type="dxa"/>
              <w:bottom w:w="80" w:type="dxa"/>
              <w:left w:w="100" w:type="dxa"/>
              <w:right w:w="100" w:type="dxa"/>
            </w:tcMar>
            <w:shd w:fill="FFFFFF"/>
          </w:tcPr>
          <w:p>
            <w:pPr>
              <w:spacing w:after="0" w:line="247" w:lineRule="auto"/>
            </w:pPr>
            <w:r>
              <w:rPr>
                <w:b w:val="0"/>
                <w:color w:val="000000"/>
                <w:sz w:val="20"/>
              </w:rPr>
              <w:t>Per-asset net and gross exposure; validate each collateral pool.</w:t>
            </w:r>
          </w:p>
        </w:tc>
      </w:tr>
      <w:tr>
        <w:trPr>
          <w:cantSplit/>
        </w:trPr>
        <w:tc>
          <w:tcPr>
            <w:tcW w:type="dxa" w:w="1944"/>
            <w:vAlign w:val="center"/>
            <w:tcMar>
              <w:top w:w="80" w:type="dxa"/>
              <w:bottom w:w="80" w:type="dxa"/>
              <w:left w:w="100" w:type="dxa"/>
              <w:right w:w="100" w:type="dxa"/>
            </w:tcMar>
            <w:shd w:fill="FFFFFF"/>
          </w:tcPr>
          <w:p>
            <w:pPr>
              <w:spacing w:after="0" w:line="247" w:lineRule="auto"/>
            </w:pPr>
            <w:r>
              <w:rPr>
                <w:b w:val="0"/>
                <w:color w:val="000000"/>
                <w:sz w:val="20"/>
              </w:rPr>
              <w:t>Orders and execution</w:t>
            </w:r>
          </w:p>
        </w:tc>
        <w:tc>
          <w:tcPr>
            <w:tcW w:type="dxa" w:w="4824"/>
            <w:vAlign w:val="center"/>
            <w:tcMar>
              <w:top w:w="80" w:type="dxa"/>
              <w:bottom w:w="80" w:type="dxa"/>
              <w:left w:w="100" w:type="dxa"/>
              <w:right w:w="100" w:type="dxa"/>
            </w:tcMar>
            <w:shd w:fill="FFFFFF"/>
          </w:tcPr>
          <w:p>
            <w:pPr>
              <w:spacing w:after="0" w:line="247" w:lineRule="auto"/>
            </w:pPr>
            <w:r>
              <w:rPr>
                <w:b w:val="0"/>
                <w:color w:val="000000"/>
                <w:sz w:val="20"/>
              </w:rPr>
              <w:t>orderUpdates; userFills; fresh bbo/l2Book; local submission and error logs [5]</w:t>
            </w:r>
          </w:p>
        </w:tc>
        <w:tc>
          <w:tcPr>
            <w:tcW w:type="dxa" w:w="3312"/>
            <w:vAlign w:val="center"/>
            <w:tcMar>
              <w:top w:w="80" w:type="dxa"/>
              <w:bottom w:w="80" w:type="dxa"/>
              <w:left w:w="100" w:type="dxa"/>
              <w:right w:w="100" w:type="dxa"/>
            </w:tcMar>
            <w:shd w:fill="FFFFFF"/>
          </w:tcPr>
          <w:p>
            <w:pPr>
              <w:spacing w:after="0" w:line="247" w:lineRule="auto"/>
            </w:pPr>
            <w:r>
              <w:rPr>
                <w:b w:val="0"/>
                <w:color w:val="000000"/>
                <w:sz w:val="20"/>
              </w:rPr>
              <w:t>Fill/rejection attribution, unhedged timer and execution cost.</w:t>
            </w:r>
          </w:p>
        </w:tc>
      </w:tr>
      <w:tr>
        <w:trPr>
          <w:cantSplit/>
        </w:trPr>
        <w:tc>
          <w:tcPr>
            <w:tcW w:type="dxa" w:w="1944"/>
            <w:vAlign w:val="center"/>
            <w:tcMar>
              <w:top w:w="80" w:type="dxa"/>
              <w:bottom w:w="80" w:type="dxa"/>
              <w:left w:w="100" w:type="dxa"/>
              <w:right w:w="100" w:type="dxa"/>
            </w:tcMar>
            <w:shd w:fill="FFFFFF"/>
          </w:tcPr>
          <w:p>
            <w:pPr>
              <w:spacing w:after="0" w:line="247" w:lineRule="auto"/>
            </w:pPr>
            <w:r>
              <w:rPr>
                <w:b w:val="0"/>
                <w:color w:val="000000"/>
                <w:sz w:val="20"/>
              </w:rPr>
              <w:t>Funding and cash flows</w:t>
            </w:r>
          </w:p>
        </w:tc>
        <w:tc>
          <w:tcPr>
            <w:tcW w:type="dxa" w:w="4824"/>
            <w:vAlign w:val="center"/>
            <w:tcMar>
              <w:top w:w="80" w:type="dxa"/>
              <w:bottom w:w="80" w:type="dxa"/>
              <w:left w:w="100" w:type="dxa"/>
              <w:right w:w="100" w:type="dxa"/>
            </w:tcMar>
            <w:shd w:fill="FFFFFF"/>
          </w:tcPr>
          <w:p>
            <w:pPr>
              <w:spacing w:after="0" w:line="247" w:lineRule="auto"/>
            </w:pPr>
            <w:r>
              <w:rPr>
                <w:b w:val="0"/>
                <w:color w:val="000000"/>
                <w:sz w:val="20"/>
              </w:rPr>
              <w:t>userFundings; userNonFundingLedgerUpdates; retained historical records [1, 5]</w:t>
            </w:r>
          </w:p>
        </w:tc>
        <w:tc>
          <w:tcPr>
            <w:tcW w:type="dxa" w:w="3312"/>
            <w:vAlign w:val="center"/>
            <w:tcMar>
              <w:top w:w="80" w:type="dxa"/>
              <w:bottom w:w="80" w:type="dxa"/>
              <w:left w:w="100" w:type="dxa"/>
              <w:right w:w="100" w:type="dxa"/>
            </w:tcMar>
            <w:shd w:fill="FFFFFF"/>
          </w:tcPr>
          <w:p>
            <w:pPr>
              <w:spacing w:after="0" w:line="247" w:lineRule="auto"/>
            </w:pPr>
            <w:r>
              <w:rPr>
                <w:b w:val="0"/>
                <w:color w:val="000000"/>
                <w:sz w:val="20"/>
              </w:rPr>
              <w:t>Daily position, balance and PnL reconciliation.</w:t>
            </w:r>
          </w:p>
        </w:tc>
      </w:tr>
      <w:tr>
        <w:trPr>
          <w:cantSplit/>
        </w:trPr>
        <w:tc>
          <w:tcPr>
            <w:tcW w:type="dxa" w:w="1944"/>
            <w:vAlign w:val="center"/>
            <w:tcMar>
              <w:top w:w="80" w:type="dxa"/>
              <w:bottom w:w="80" w:type="dxa"/>
              <w:left w:w="100" w:type="dxa"/>
              <w:right w:w="100" w:type="dxa"/>
            </w:tcMar>
            <w:shd w:fill="FFFFFF"/>
          </w:tcPr>
          <w:p>
            <w:pPr>
              <w:spacing w:after="0" w:line="247" w:lineRule="auto"/>
            </w:pPr>
            <w:r>
              <w:rPr>
                <w:b w:val="0"/>
                <w:color w:val="000000"/>
                <w:sz w:val="20"/>
              </w:rPr>
              <w:t>Mandates and governance</w:t>
            </w:r>
          </w:p>
        </w:tc>
        <w:tc>
          <w:tcPr>
            <w:tcW w:type="dxa" w:w="4824"/>
            <w:vAlign w:val="center"/>
            <w:tcMar>
              <w:top w:w="80" w:type="dxa"/>
              <w:bottom w:w="80" w:type="dxa"/>
              <w:left w:w="100" w:type="dxa"/>
              <w:right w:w="100" w:type="dxa"/>
            </w:tcMar>
            <w:shd w:fill="FFFFFF"/>
          </w:tcPr>
          <w:p>
            <w:pPr>
              <w:spacing w:after="0" w:line="247" w:lineRule="auto"/>
            </w:pPr>
            <w:r>
              <w:rPr>
                <w:b w:val="0"/>
                <w:color w:val="000000"/>
                <w:sz w:val="20"/>
              </w:rPr>
              <w:t>Manager records, permission evidence and dated policy versions</w:t>
            </w:r>
          </w:p>
        </w:tc>
        <w:tc>
          <w:tcPr>
            <w:tcW w:type="dxa" w:w="3312"/>
            <w:vAlign w:val="center"/>
            <w:tcMar>
              <w:top w:w="80" w:type="dxa"/>
              <w:bottom w:w="80" w:type="dxa"/>
              <w:left w:w="100" w:type="dxa"/>
              <w:right w:w="100" w:type="dxa"/>
            </w:tcMar>
            <w:shd w:fill="FFFFFF"/>
          </w:tcPr>
          <w:p>
            <w:pPr>
              <w:spacing w:after="0" w:line="247" w:lineRule="auto"/>
            </w:pPr>
            <w:r>
              <w:rPr>
                <w:b w:val="0"/>
                <w:color w:val="000000"/>
                <w:sz w:val="20"/>
              </w:rPr>
              <w:t>Role/access changes and independently approved limits.</w:t>
            </w:r>
          </w:p>
        </w:tc>
      </w:tr>
    </w:tbl>
    <w:p>
      <w:pPr>
        <w:keepNext w:val="0"/>
        <w:widowControl/>
        <w:spacing w:after="40"/>
      </w:pPr>
      <w:r>
        <w:rPr>
          <w:b w:val="0"/>
        </w:rPr>
      </w:r>
    </w:p>
    <w:p>
      <w:pPr>
        <w:keepNext w:val="0"/>
        <w:widowControl/>
        <w:spacing w:after="120"/>
      </w:pPr>
      <w:r>
        <w:rPr>
          <w:b w:val="0"/>
          <w:sz w:val="20"/>
        </w:rPr>
        <w:t>Use event updates with periodic reconciled snapshots; set cadence and freshness tolerances by strategy and rate limits. Recover gaps before trusting resumed feeds. Replayed snapshots must not duplicate previously processed events. Beta is a slower statistical diagnostic, not a substitute for current holdings. [5]</w:t>
      </w:r>
    </w:p>
    <w:p>
      <w:pPr>
        <w:keepNext w:val="0"/>
        <w:widowControl/>
        <w:spacing w:after="120"/>
      </w:pPr>
      <w:r>
        <w:rPr>
          <w:b w:val="0"/>
          <w:sz w:val="20"/>
        </w:rPr>
        <w:t>Compute net exposure within each underlying; offsetting BTC and ETH notionals does not establish neutrality. Maintenance headroom uses eligible equity and the applicable maintenance requirement; neither withdrawable cash nor totalMarginUsed alone is a universal substitute. Avoid double-counting balances under unified accounts; cross-pool surplus is usable only after verified transfer. [1, 2, 4]</w:t>
      </w:r>
    </w:p>
    <w:p>
      <w:pPr>
        <w:keepNext w:val="0"/>
        <w:widowControl/>
        <w:spacing w:after="120"/>
      </w:pPr>
      <w:r>
        <w:rPr>
          <w:b w:val="0"/>
          <w:sz w:val="20"/>
        </w:rPr>
        <w:t>Daily: operations and research sign off cash-flow-adjusted PnL and unresolved differences. Weekly: research and risk review style, costs, false alarms and incidents. Monthly: research updates active/closed cases, performance coverage, verified manager AUM and material changes. Keep effective/retrieval dates, limit versions, action owners, deadlines and closure evidence.</w:t>
      </w:r>
    </w:p>
    <w:p>
      <w:pPr>
        <w:pStyle w:val="Heading2"/>
        <w:keepNext/>
        <w:widowControl/>
        <w:spacing w:after="100" w:before="160"/>
      </w:pPr>
      <w:r>
        <w:rPr>
          <w:b w:val="0"/>
          <w:sz w:val="24"/>
        </w:rPr>
        <w:t>Sources and limitations</w:t>
      </w:r>
    </w:p>
    <w:p>
      <w:pPr>
        <w:keepNext/>
        <w:widowControl/>
        <w:spacing w:after="60"/>
      </w:pPr>
      <w:r>
        <w:rPr>
          <w:b w:val="0"/>
        </w:rPr>
      </w:r>
      <w:hyperlink r:id="rId10">
        <w:r>
          <w:rPr>
            <w:color w:val="245A81"/>
          </w:rPr>
          <w:t>[1] Hyperliquid perpetual account and ledger API</w:t>
        </w:r>
      </w:hyperlink>
    </w:p>
    <w:p>
      <w:pPr>
        <w:keepNext w:val="0"/>
        <w:widowControl/>
        <w:spacing w:after="140"/>
      </w:pPr>
      <w:r>
        <w:rPr>
          <w:b w:val="0"/>
          <w:sz w:val="19"/>
        </w:rPr>
        <w:t>Positions, margin and cash-flow records; query each relevant account and DEX. Historical availability must be checked.</w:t>
      </w:r>
    </w:p>
    <w:p>
      <w:pPr>
        <w:keepNext/>
        <w:widowControl/>
        <w:spacing w:after="60"/>
      </w:pPr>
      <w:r>
        <w:rPr>
          <w:b w:val="0"/>
        </w:rPr>
      </w:r>
      <w:hyperlink r:id="rId11">
        <w:r>
          <w:rPr>
            <w:color w:val="245A81"/>
          </w:rPr>
          <w:t>[2] Hyperliquid margining</w:t>
        </w:r>
      </w:hyperlink>
    </w:p>
    <w:p>
      <w:pPr>
        <w:keepNext w:val="0"/>
        <w:widowControl/>
        <w:spacing w:after="140"/>
      </w:pPr>
      <w:r>
        <w:rPr>
          <w:b w:val="0"/>
          <w:sz w:val="19"/>
        </w:rPr>
        <w:t>Cross, isolated and strict-isolated collateral constraints require different treatment.</w:t>
      </w:r>
    </w:p>
    <w:p>
      <w:pPr>
        <w:keepNext/>
        <w:widowControl/>
        <w:spacing w:after="60"/>
      </w:pPr>
      <w:r>
        <w:rPr>
          <w:b w:val="0"/>
        </w:rPr>
      </w:r>
      <w:hyperlink r:id="rId12">
        <w:r>
          <w:rPr>
            <w:color w:val="245A81"/>
          </w:rPr>
          <w:t>[3] Hyperliquid nonces and API wallets</w:t>
        </w:r>
      </w:hyperlink>
    </w:p>
    <w:p>
      <w:pPr>
        <w:keepNext w:val="0"/>
        <w:widowControl/>
        <w:spacing w:after="140"/>
      </w:pPr>
      <w:r>
        <w:rPr>
          <w:b w:val="0"/>
          <w:sz w:val="19"/>
        </w:rPr>
        <w:t>Signer and nonce handling informs the simulated hypothesis; no actual rejection log was collected here.</w:t>
      </w:r>
    </w:p>
    <w:p>
      <w:pPr>
        <w:keepNext/>
        <w:widowControl/>
        <w:spacing w:after="60"/>
      </w:pPr>
      <w:r>
        <w:rPr>
          <w:b w:val="0"/>
        </w:rPr>
      </w:r>
      <w:hyperlink r:id="rId13">
        <w:r>
          <w:rPr>
            <w:color w:val="245A81"/>
          </w:rPr>
          <w:t>[4] Hyperliquid spot account API</w:t>
        </w:r>
      </w:hyperlink>
    </w:p>
    <w:p>
      <w:pPr>
        <w:keepNext w:val="0"/>
        <w:widowControl/>
        <w:spacing w:after="140"/>
      </w:pPr>
      <w:r>
        <w:rPr>
          <w:b w:val="0"/>
          <w:sz w:val="19"/>
        </w:rPr>
        <w:t>Balances must be interpreted within the verified account mode and instrument mapping.</w:t>
      </w:r>
    </w:p>
    <w:p>
      <w:pPr>
        <w:keepNext/>
        <w:widowControl/>
        <w:spacing w:after="60"/>
      </w:pPr>
      <w:r>
        <w:rPr>
          <w:b w:val="0"/>
        </w:rPr>
      </w:r>
      <w:hyperlink r:id="rId14">
        <w:r>
          <w:rPr>
            <w:color w:val="245A81"/>
          </w:rPr>
          <w:t>[5] Hyperliquid WebSocket subscriptions</w:t>
        </w:r>
      </w:hyperlink>
    </w:p>
    <w:p>
      <w:pPr>
        <w:keepNext w:val="0"/>
        <w:widowControl/>
        <w:spacing w:after="140"/>
      </w:pPr>
      <w:r>
        <w:rPr>
          <w:b w:val="0"/>
          <w:sz w:val="19"/>
        </w:rPr>
        <w:t>Order, fill, funding and ledger streams; snapshots are identified separately from subsequent updates.</w:t>
      </w:r>
    </w:p>
    <w:p>
      <w:pPr>
        <w:keepNext w:val="0"/>
        <w:widowControl/>
        <w:spacing w:after="0"/>
      </w:pPr>
      <w:r>
        <w:rPr>
          <w:b w:val="0"/>
          <w:color w:val="555555"/>
          <w:sz w:val="19"/>
        </w:rPr>
        <w:t>Messari may supply event context for universe reviews; it does not replace account telemetry or operator evidence. No Dune query, screenshot, live monitoring deployment or real SMA intervention was performed. Current documentation does not establish historical availability of every field at the research cutoff.</w:t>
      </w:r>
    </w:p>
    <w:sectPr w:rsidR="00FC693F" w:rsidRPr="0006063C" w:rsidSect="00034616">
      <w:footerReference w:type="default" r:id="rId9"/>
      <w:pgSz w:w="12240" w:h="15840"/>
      <w:pgMar w:top="893" w:right="1080" w:bottom="893"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Hyperliquid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yperliquid.gitbook.io/hyperliquid-docs/for-developers/api/info-endpoint/perpetuals" TargetMode="External"/><Relationship Id="rId11" Type="http://schemas.openxmlformats.org/officeDocument/2006/relationships/hyperlink" Target="https://hyperliquid.gitbook.io/hyperliquid-docs/trading/margining" TargetMode="External"/><Relationship Id="rId12" Type="http://schemas.openxmlformats.org/officeDocument/2006/relationships/hyperlink" Target="https://hyperliquid.gitbook.io/hyperliquid-docs/for-developers/api/nonces-and-api-wallets" TargetMode="External"/><Relationship Id="rId13" Type="http://schemas.openxmlformats.org/officeDocument/2006/relationships/hyperlink" Target="https://hyperliquid.gitbook.io/hyperliquid-docs/for-developers/api/info-endpoint/spot" TargetMode="External"/><Relationship Id="rId14" Type="http://schemas.openxmlformats.org/officeDocument/2006/relationships/hyperlink" Target="https://hyperliquid.gitbook.io/hyperliquid-docs/for-developers/api/websocket/sub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Hyperliquid monitoring and breach response</dc:title>
  <dc:subject>Section 10 with a simulated incident and monitoring data specification</dc:subject>
  <dc:creator/>
  <cp:keywords>Hyperliquid, HLP, manager research, due diligence</cp:keywords>
  <dc:description>generated by python-docx</dc:description>
  <cp:lastModifiedBy/>
  <cp:revision>1</cp:revision>
  <dcterms:created xsi:type="dcterms:W3CDTF">2013-12-23T23:15:00Z</dcterms:created>
  <dcterms:modified xsi:type="dcterms:W3CDTF">2013-12-23T23:15:00Z</dcterms:modified>
  <cp:category/>
</cp:coreProperties>
</file>