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7D221" w14:textId="77777777" w:rsidR="00C11431" w:rsidRDefault="003C1475">
      <w:pPr>
        <w:spacing w:after="20"/>
        <w:jc w:val="center"/>
      </w:pPr>
      <w:r>
        <w:rPr>
          <w:b/>
          <w:bCs/>
          <w:color w:val="1F3A5F"/>
          <w:spacing w:val="30"/>
          <w:sz w:val="34"/>
          <w:szCs w:val="34"/>
        </w:rPr>
        <w:t>PUJITHA NANNAPANENI</w:t>
      </w:r>
    </w:p>
    <w:p w14:paraId="5257D222" w14:textId="2DD9B300" w:rsidR="00C11431" w:rsidRDefault="003C1475">
      <w:pPr>
        <w:spacing w:after="30"/>
        <w:jc w:val="center"/>
      </w:pPr>
      <w:r>
        <w:rPr>
          <w:b/>
          <w:bCs/>
          <w:sz w:val="22"/>
          <w:szCs w:val="22"/>
        </w:rPr>
        <w:t xml:space="preserve">AI Solutions Architect  |  Agentic Systems &amp; LLM Platform Architecture  |  Regulated Healthcare &amp; Life Sciences Data</w:t>
      </w:r>
    </w:p>
    <w:p w14:paraId="5257D223" w14:textId="77777777" w:rsidR="00C11431" w:rsidRDefault="003C1475">
      <w:pPr>
        <w:spacing w:after="60"/>
        <w:jc w:val="center"/>
      </w:pPr>
      <w:r>
        <w:rPr>
          <w:color w:val="555555"/>
          <w:sz w:val="19"/>
          <w:szCs w:val="19"/>
        </w:rPr>
        <w:t xml:space="preserve">Frisco, TX (Dallas–Fort Worth)  |  513.488.9020  |  pujithan@gmail.com  |  linkedin.com/in/pujanan</w:t>
      </w:r>
    </w:p>
    <w:p w14:paraId="5257D224" w14:textId="77777777" w:rsidR="00C11431" w:rsidRDefault="003C1475">
      <w:pPr>
        <w:pBdr>
          <w:bottom w:val="single" w:sz="8" w:space="2" w:color="1F3A5F"/>
        </w:pBdr>
        <w:spacing w:before="150" w:after="60"/>
      </w:pPr>
      <w:r>
        <w:rPr>
          <w:b/>
          <w:bCs/>
          <w:color w:val="1F3A5F"/>
          <w:spacing w:val="20"/>
          <w:sz w:val="22"/>
          <w:szCs w:val="22"/>
        </w:rPr>
        <w:t>EXECUTIVE SUMMARY</w:t>
      </w:r>
    </w:p>
    <w:p w14:paraId="5257D225" w14:textId="0A1937A2" w:rsidR="00C11431" w:rsidRDefault="003C1475">
      <w:pPr>
        <w:spacing w:after="40"/>
        <w:jc w:val="both"/>
      </w:pPr>
      <w:r>
        <w:t xml:space="preserve">AI, data, and strategy Leader with 19+ years building the data foundations enterprises run on and the AI that sits on top of them. Set the AI and data vision, operating model, and governance; modernized legacy data and BI estates into governed, AI-ready platforms; and led AI adopted by the people who do the work. Has shipped agentic AI and RAG platforms that cut partner-onboarding cycles 90% and error handling 95%, delivered automated data-lake and MDM pipelines that cut data-processing cycles 90%, and has led 20+ person AI, data, analytics, product, and engineering organizations. Regulated-industry depth across pharma, biotech, and insurance. Trusted advisor to C-suite leaders and boards on AI and data portfolio strategy, responsible AI, and value realization. Kellogg MBA.</w:t>
      </w:r>
    </w:p>
    <w:p w14:paraId="5257D226" w14:textId="77777777" w:rsidR="00C11431" w:rsidRDefault="003C1475">
      <w:pPr>
        <w:pBdr>
          <w:bottom w:val="single" w:sz="8" w:space="2" w:color="1F3A5F"/>
        </w:pBdr>
        <w:spacing w:before="150" w:after="60"/>
      </w:pPr>
      <w:r>
        <w:rPr>
          <w:b/>
          <w:bCs/>
          <w:color w:val="1F3A5F"/>
          <w:spacing w:val="20"/>
          <w:sz w:val="22"/>
          <w:szCs w:val="22"/>
        </w:rPr>
        <w:t>SELECTED OUTCOMES</w:t>
      </w:r>
    </w:p>
    <w:p w14:paraId="2C91FAEF" w14:textId="77777777" w:rsidR="003C4FAF" w:rsidRDefault="003C4FAF" w:rsidP="003C4FAF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Production agentic RAG architecture: </w:t>
      </w:r>
      <w:r>
        <w:t>agents generate and validate outputs, humans approve edge cases; 90% faster partner onboarding, 95% automated error handling, zero disruption to live pipelines (Archents).</w:t>
      </w:r>
    </w:p>
    <w:p w14:paraId="77547D69" w14:textId="77777777" w:rsidR="003C4FAF" w:rsidRDefault="003C4FAF" w:rsidP="003C4FAF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Adoption at enterprise scale: </w:t>
      </w:r>
      <w:r>
        <w:t>standardized templates, data extraction layers, and process patterns adopted across 240+ plans and 2,000 users in 6 R&amp;D functions (Seagen/Pfizer).</w:t>
      </w:r>
    </w:p>
    <w:p w14:paraId="5257D229" w14:textId="3A1E8097" w:rsidR="00C11431" w:rsidRDefault="003C4FAF" w:rsidP="003B26DF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Governed, role-based data architecture: </w:t>
      </w:r>
      <w:r>
        <w:t xml:space="preserve">automated ingestion into Hadoop-based Real World Evidence data lakes with role-based, real-time access for internal and external parties; 90% faster data availability (AbbVie).</w:t>
      </w:r>
    </w:p>
    <w:p w14:paraId="5257D22A" w14:textId="77777777" w:rsidR="00C11431" w:rsidRDefault="003C1475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HIPAA-compliant patient data ecosystem: </w:t>
      </w:r>
      <w:r>
        <w:t xml:space="preserve">owned delivery of PHI-bearing patient portals, enrollment flows, and reimbursement integrations (Adaptive Biotechnologies).</w:t>
      </w:r>
    </w:p>
    <w:p w14:paraId="5257D22B" w14:textId="77777777" w:rsidR="00C11431" w:rsidRDefault="003C1475">
      <w:pPr>
        <w:pBdr>
          <w:bottom w:val="single" w:sz="8" w:space="2" w:color="1F3A5F"/>
        </w:pBdr>
        <w:spacing w:before="150" w:after="60"/>
      </w:pPr>
      <w:r>
        <w:rPr>
          <w:b/>
          <w:bCs/>
          <w:color w:val="1F3A5F"/>
          <w:spacing w:val="20"/>
          <w:sz w:val="22"/>
          <w:szCs w:val="22"/>
        </w:rPr>
        <w:t>CORE CAPABILITIES</w:t>
      </w:r>
    </w:p>
    <w:tbl>
      <w:tblPr>
        <w:tblW w:w="1065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2"/>
        <w:gridCol w:w="3552"/>
        <w:gridCol w:w="3552"/>
      </w:tblGrid>
      <w:tr w:rsidR="00C11431" w14:paraId="5257D22F" w14:textId="77777777">
        <w:tc>
          <w:tcPr>
            <w:tcW w:w="3552" w:type="dxa"/>
            <w:shd w:val="clear" w:color="auto" w:fill="EEF2F7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257D22C" w14:textId="77777777" w:rsidR="00C11431" w:rsidRDefault="003C1475">
            <w:r>
              <w:rPr>
                <w:color w:val="1F3A5F"/>
              </w:rPr>
              <w:t xml:space="preserve">▪ </w:t>
            </w:r>
            <w:r>
              <w:rPr>
                <w:sz w:val="19"/>
                <w:szCs w:val="19"/>
              </w:rPr>
              <w:t>Agentic &amp; Multi-Agent Architecture</w:t>
            </w:r>
          </w:p>
        </w:tc>
        <w:tc>
          <w:tcPr>
            <w:tcW w:w="3552" w:type="dxa"/>
            <w:shd w:val="clear" w:color="auto" w:fill="EEF2F7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257D22D" w14:textId="77777777" w:rsidR="00C11431" w:rsidRDefault="003C1475">
            <w:r>
              <w:rPr>
                <w:color w:val="1F3A5F"/>
              </w:rPr>
              <w:t xml:space="preserve">▪ </w:t>
            </w:r>
            <w:r>
              <w:rPr>
                <w:sz w:val="19"/>
                <w:szCs w:val="19"/>
              </w:rPr>
              <w:t>RAG &amp; Vector Retrieval Architecture</w:t>
            </w:r>
          </w:p>
        </w:tc>
        <w:tc>
          <w:tcPr>
            <w:tcW w:w="3552" w:type="dxa"/>
            <w:shd w:val="clear" w:color="auto" w:fill="EEF2F7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257D22E" w14:textId="77777777" w:rsidR="00C11431" w:rsidRDefault="003C1475">
            <w:r>
              <w:rPr>
                <w:color w:val="1F3A5F"/>
              </w:rPr>
              <w:t xml:space="preserve">▪ </w:t>
            </w:r>
            <w:r>
              <w:rPr>
                <w:sz w:val="19"/>
                <w:szCs w:val="19"/>
              </w:rPr>
              <w:t>Hybrid LLM + Deterministic Design</w:t>
            </w:r>
          </w:p>
        </w:tc>
      </w:tr>
      <w:tr w:rsidR="00C11431" w14:paraId="5257D233" w14:textId="77777777">
        <w:tc>
          <w:tcPr>
            <w:tcW w:w="3552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257D230" w14:textId="77777777" w:rsidR="00C11431" w:rsidRDefault="003C1475">
            <w:r>
              <w:rPr>
                <w:color w:val="1F3A5F"/>
              </w:rPr>
              <w:t xml:space="preserve">▪ </w:t>
            </w:r>
            <w:r>
              <w:rPr>
                <w:sz w:val="19"/>
                <w:szCs w:val="19"/>
              </w:rPr>
              <w:t xml:space="preserve">LLM Evaluation &amp; Quality Gates</w:t>
            </w:r>
          </w:p>
        </w:tc>
        <w:tc>
          <w:tcPr>
            <w:tcW w:w="3552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257D231" w14:textId="77777777" w:rsidR="00C11431" w:rsidRDefault="003C1475">
            <w:r>
              <w:rPr>
                <w:color w:val="1F3A5F"/>
              </w:rPr>
              <w:t xml:space="preserve">▪ </w:t>
            </w:r>
            <w:r>
              <w:rPr>
                <w:sz w:val="19"/>
                <w:szCs w:val="19"/>
              </w:rPr>
              <w:t>LLMOps, Observability &amp; SLAs</w:t>
            </w:r>
          </w:p>
        </w:tc>
        <w:tc>
          <w:tcPr>
            <w:tcW w:w="3552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257D232" w14:textId="77777777" w:rsidR="00C11431" w:rsidRDefault="003C1475">
            <w:r>
              <w:rPr>
                <w:color w:val="1F3A5F"/>
              </w:rPr>
              <w:t xml:space="preserve">▪ </w:t>
            </w:r>
            <w:r>
              <w:rPr>
                <w:sz w:val="19"/>
                <w:szCs w:val="19"/>
              </w:rPr>
              <w:t>LLM/SLM Selection, Cost &amp; Latency</w:t>
            </w:r>
          </w:p>
        </w:tc>
      </w:tr>
      <w:tr w:rsidR="00C11431" w14:paraId="5257D237" w14:textId="77777777">
        <w:tc>
          <w:tcPr>
            <w:tcW w:w="3552" w:type="dxa"/>
            <w:shd w:val="clear" w:color="auto" w:fill="EEF2F7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257D234" w14:textId="77777777" w:rsidR="00C11431" w:rsidRDefault="003C1475">
            <w:r>
              <w:rPr>
                <w:color w:val="1F3A5F"/>
              </w:rPr>
              <w:t xml:space="preserve">▪ </w:t>
            </w:r>
            <w:r>
              <w:rPr>
                <w:sz w:val="19"/>
                <w:szCs w:val="19"/>
              </w:rPr>
              <w:t>Sandbox-to-Production Architecture</w:t>
            </w:r>
          </w:p>
        </w:tc>
        <w:tc>
          <w:tcPr>
            <w:tcW w:w="3552" w:type="dxa"/>
            <w:shd w:val="clear" w:color="auto" w:fill="EEF2F7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257D235" w14:textId="77777777" w:rsidR="00C11431" w:rsidRDefault="003C1475">
            <w:r>
              <w:rPr>
                <w:color w:val="1F3A5F"/>
              </w:rPr>
              <w:t xml:space="preserve">▪ </w:t>
            </w:r>
            <w:r>
              <w:rPr>
                <w:sz w:val="19"/>
                <w:szCs w:val="19"/>
              </w:rPr>
              <w:t>Reusable Components &amp; Agent Templates</w:t>
            </w:r>
          </w:p>
        </w:tc>
        <w:tc>
          <w:tcPr>
            <w:tcW w:w="3552" w:type="dxa"/>
            <w:shd w:val="clear" w:color="auto" w:fill="EEF2F7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257D236" w14:textId="77777777" w:rsidR="00C11431" w:rsidRDefault="003C1475">
            <w:r>
              <w:rPr>
                <w:color w:val="1F3A5F"/>
              </w:rPr>
              <w:t xml:space="preserve">▪ </w:t>
            </w:r>
            <w:r>
              <w:rPr>
                <w:sz w:val="19"/>
                <w:szCs w:val="19"/>
              </w:rPr>
              <w:t>Responsible AI, Governance &amp; Controls</w:t>
            </w:r>
          </w:p>
        </w:tc>
      </w:tr>
      <w:tr w:rsidR="00C11431" w14:paraId="5257D23B" w14:textId="77777777">
        <w:tc>
          <w:tcPr>
            <w:tcW w:w="3552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257D238" w14:textId="77777777" w:rsidR="00C11431" w:rsidRDefault="003C1475">
            <w:r>
              <w:rPr>
                <w:color w:val="1F3A5F"/>
              </w:rPr>
              <w:t xml:space="preserve">▪ </w:t>
            </w:r>
            <w:r>
              <w:rPr>
                <w:sz w:val="19"/>
                <w:szCs w:val="19"/>
              </w:rPr>
              <w:t>HIPAA / PHI Privacy Boundaries</w:t>
            </w:r>
          </w:p>
        </w:tc>
        <w:tc>
          <w:tcPr>
            <w:tcW w:w="3552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257D239" w14:textId="77777777" w:rsidR="00C11431" w:rsidRDefault="003C1475">
            <w:r>
              <w:rPr>
                <w:color w:val="1F3A5F"/>
              </w:rPr>
              <w:t xml:space="preserve">▪ </w:t>
            </w:r>
            <w:r>
              <w:rPr>
                <w:sz w:val="19"/>
                <w:szCs w:val="19"/>
              </w:rPr>
              <w:t>Data Governance, Quality &amp; MDM</w:t>
            </w:r>
          </w:p>
        </w:tc>
        <w:tc>
          <w:tcPr>
            <w:tcW w:w="3552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257D23A" w14:textId="77777777" w:rsidR="00C11431" w:rsidRDefault="003C1475">
            <w:r>
              <w:rPr>
                <w:color w:val="1F3A5F"/>
              </w:rPr>
              <w:t xml:space="preserve">▪ </w:t>
            </w:r>
            <w:r>
              <w:rPr>
                <w:sz w:val="19"/>
                <w:szCs w:val="19"/>
              </w:rPr>
              <w:t>Context Management &amp; Guardrails</w:t>
            </w:r>
          </w:p>
        </w:tc>
      </w:tr>
      <w:tr w:rsidR="00C11431" w14:paraId="5257D23F" w14:textId="77777777">
        <w:tc>
          <w:tcPr>
            <w:tcW w:w="3552" w:type="dxa"/>
            <w:shd w:val="clear" w:color="auto" w:fill="EEF2F7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257D23C" w14:textId="77777777" w:rsidR="00C11431" w:rsidRDefault="003C1475">
            <w:r>
              <w:rPr>
                <w:color w:val="1F3A5F"/>
              </w:rPr>
              <w:t xml:space="preserve">▪ </w:t>
            </w:r>
            <w:r>
              <w:rPr>
                <w:sz w:val="19"/>
                <w:szCs w:val="19"/>
              </w:rPr>
              <w:t>Architecture Standards &amp; Patterns</w:t>
            </w:r>
          </w:p>
        </w:tc>
        <w:tc>
          <w:tcPr>
            <w:tcW w:w="3552" w:type="dxa"/>
            <w:shd w:val="clear" w:color="auto" w:fill="EEF2F7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257D23D" w14:textId="77777777" w:rsidR="00C11431" w:rsidRDefault="003C1475">
            <w:r>
              <w:rPr>
                <w:color w:val="1F3A5F"/>
              </w:rPr>
              <w:t xml:space="preserve">▪ </w:t>
            </w:r>
            <w:r>
              <w:rPr>
                <w:sz w:val="19"/>
                <w:szCs w:val="19"/>
              </w:rPr>
              <w:t>Vendor-Agnostic Technical Evaluation</w:t>
            </w:r>
          </w:p>
        </w:tc>
        <w:tc>
          <w:tcPr>
            <w:tcW w:w="3552" w:type="dxa"/>
            <w:shd w:val="clear" w:color="auto" w:fill="EEF2F7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257D23E" w14:textId="77777777" w:rsidR="00C11431" w:rsidRDefault="003C1475">
            <w:r>
              <w:rPr>
                <w:color w:val="1F3A5F"/>
              </w:rPr>
              <w:t xml:space="preserve">▪ </w:t>
            </w:r>
            <w:r>
              <w:rPr>
                <w:sz w:val="19"/>
                <w:szCs w:val="19"/>
              </w:rPr>
              <w:t>Enterprise Data Platform Architecture</w:t>
            </w:r>
          </w:p>
        </w:tc>
      </w:tr>
    </w:tbl>
    <w:p w14:paraId="5257D240" w14:textId="77777777" w:rsidR="00C11431" w:rsidRDefault="003C1475">
      <w:pPr>
        <w:pBdr>
          <w:bottom w:val="single" w:sz="8" w:space="2" w:color="1F3A5F"/>
        </w:pBdr>
        <w:spacing w:before="150" w:after="60"/>
      </w:pPr>
      <w:r>
        <w:rPr>
          <w:b/>
          <w:bCs/>
          <w:color w:val="1F3A5F"/>
          <w:spacing w:val="20"/>
          <w:sz w:val="22"/>
          <w:szCs w:val="22"/>
        </w:rPr>
        <w:t>PROFESSIONAL EXPERIENCE</w:t>
      </w:r>
    </w:p>
    <w:p w14:paraId="5257D241" w14:textId="77777777" w:rsidR="00C11431" w:rsidRDefault="003C1475">
      <w:pPr>
        <w:keepNext/>
        <w:keepLines/>
        <w:tabs>
          <w:tab w:val="right" w:pos="10656"/>
        </w:tabs>
        <w:spacing w:before="110"/>
      </w:pPr>
      <w:r>
        <w:rPr>
          <w:b/>
          <w:bCs/>
          <w:sz w:val="21"/>
          <w:szCs w:val="21"/>
        </w:rPr>
        <w:t xml:space="preserve">Archents Inc.</w:t>
      </w:r>
      <w:r>
        <w:rPr>
          <w:color w:val="555555"/>
        </w:rPr>
        <w:t xml:space="preserve">  |  Frisco, TX</w:t>
      </w:r>
      <w:r>
        <w:rPr>
          <w:b/>
          <w:bCs/>
        </w:rPr>
        <w:tab/>
        <w:t>Jun 2024 – Present</w:t>
      </w:r>
    </w:p>
    <w:p w14:paraId="5257D242" w14:textId="77777777" w:rsidR="00C11431" w:rsidRDefault="003C1475">
      <w:pPr>
        <w:keepNext/>
        <w:spacing w:after="40"/>
      </w:pPr>
      <w:r>
        <w:rPr>
          <w:b/>
          <w:bCs/>
          <w:i/>
          <w:iCs/>
          <w:color w:val="1F3A5F"/>
        </w:rPr>
        <w:t>Partner — AI Product Strategy &amp; Management</w:t>
      </w:r>
    </w:p>
    <w:p w14:paraId="5257D243" w14:textId="77777777" w:rsidR="00C11431" w:rsidRDefault="003C1475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AI product &amp; portfolio strategy: </w:t>
      </w:r>
      <w:r>
        <w:t xml:space="preserve">Shape product strategy and multi-year roadmaps for Archents’ agent-first portfolio (DEXA, APEX, Content Studio) serving logistics, supply chain, and healthcare enterprises; make build-vs-buy calls across foundation models (Claude, Gemini), vector databases, data platforms, and orchestration.</w:t>
      </w:r>
    </w:p>
    <w:p w14:paraId="5257D244" w14:textId="77777777" w:rsidR="00C11431" w:rsidRDefault="003C1475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Organization &amp; operating rhythm: </w:t>
      </w:r>
      <w:r>
        <w:t>Build, mentor, and lead a 20+ person team of analytics, data, product, and ML specialists; set KPI frameworks, evaluation benchmarks (e.g., Ragas), and cadences for agent accuracy and latency pre-release.</w:t>
      </w:r>
    </w:p>
    <w:p w14:paraId="5257D245" w14:textId="41146C42" w:rsidR="00C11431" w:rsidRDefault="003C1475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DEXA, AI-native EDI operating system: </w:t>
      </w:r>
      <w:r>
        <w:t xml:space="preserve">Led product design and launch of DEXA’s agentic RAG workflow engine (Claude on Microsoft AI Foundry), a BA-centric, cloud-native platform where agents generate and validate EDI maps from requirement specs, with humans approving edge cases. Partner onboarding cycles fell 90% and error handling 95%, with zero disruption to live order-processing pipelines.</w:t>
      </w:r>
    </w:p>
    <w:p w14:paraId="5257D246" w14:textId="77777777" w:rsidR="00C11431" w:rsidRDefault="003C1475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AI-ready data foundations: </w:t>
      </w:r>
      <w:r>
        <w:t xml:space="preserve">Shaped the LLM/RAG stack and data integration layer behind these products (PostgreSQL/pgvector, BigQuery, curated structured datasets), with SLAs and governance for evaluation, schema drift, data quality, and context-injection guardrails.</w:t>
      </w:r>
    </w:p>
    <w:p w14:paraId="5257D247" w14:textId="77777777" w:rsidR="00C11431" w:rsidRDefault="003C1475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APEX, AI-assisted product engineering: </w:t>
      </w:r>
      <w:r>
        <w:t>Set the product vision and led delivery of the multi-agent GenAI engine (Claude on Vertex AI) behind APEX, turning unstructured project briefs into enterprise-grade BRDs, FRS, user stories, and UAT matrices, then into automated code generation and predictive analytics dashboards.</w:t>
      </w:r>
    </w:p>
    <w:p w14:paraId="5257D248" w14:textId="77777777" w:rsidR="00C11431" w:rsidRDefault="003C1475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Conversational operational analytics: </w:t>
      </w:r>
      <w:r>
        <w:t>Steered the roadmap for an autonomous, multi-step Text-to-SQL agent (Vertex AI Agent Builder) that gives operations teams governed, natural-language answers from live structured data, with deterministic guardrails, predictive forecasting, and automated semantic reporting, reducing dependence on BI and IT for routine questions.</w:t>
      </w:r>
    </w:p>
    <w:p w14:paraId="5257D249" w14:textId="77777777" w:rsidR="00C11431" w:rsidRDefault="003C1475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AI advisory, governance &amp; adoption: </w:t>
      </w:r>
      <w:r>
        <w:t xml:space="preserve">Lead client engagements across Archents’ assess-build-govern frameworks: AI readiness (AIRA), use-case value and ROI planning (VISTA), human-in-the-loop workflow redesign (FLOWMAP), and responsible AI governance (TRUST360); drive GenAI change management and upskilling; author SOWs with model uptime and accuracy SLAs.</w:t>
      </w:r>
    </w:p>
    <w:p w14:paraId="5257D24A" w14:textId="77777777" w:rsidR="00C11431" w:rsidRDefault="003C1475">
      <w:pPr>
        <w:keepNext/>
        <w:keepLines/>
        <w:tabs>
          <w:tab w:val="right" w:pos="10656"/>
        </w:tabs>
        <w:spacing w:before="110"/>
      </w:pPr>
      <w:r>
        <w:rPr>
          <w:b/>
          <w:bCs/>
          <w:sz w:val="21"/>
          <w:szCs w:val="21"/>
        </w:rPr>
        <w:t xml:space="preserve">Seagen Inc. (acquired by Pfizer)</w:t>
      </w:r>
      <w:r>
        <w:rPr>
          <w:color w:val="555555"/>
        </w:rPr>
        <w:t xml:space="preserve">  |  Seattle, WA</w:t>
      </w:r>
      <w:r>
        <w:rPr>
          <w:b/>
          <w:bCs/>
        </w:rPr>
        <w:tab/>
        <w:t>Mar 2022 – Jun 2024</w:t>
      </w:r>
    </w:p>
    <w:p w14:paraId="5257D24B" w14:textId="77777777" w:rsidR="00C11431" w:rsidRDefault="003C1475">
      <w:pPr>
        <w:keepNext/>
        <w:spacing w:after="40"/>
      </w:pPr>
      <w:r>
        <w:rPr>
          <w:b/>
          <w:bCs/>
          <w:i/>
          <w:iCs/>
          <w:color w:val="1F3A5F"/>
        </w:rPr>
        <w:t>Principal Consultant</w:t>
      </w:r>
    </w:p>
    <w:p w14:paraId="5257D24D" w14:textId="77777777" w:rsidR="00C11431" w:rsidRDefault="003C1475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lastRenderedPageBreak/>
        <w:t xml:space="preserve">Platform migration &amp; adoption: </w:t>
      </w:r>
      <w:r>
        <w:t>Led the move from legacy tracking systems to Planisware (E7), onboarding 240+ project plans covering 2,000 employees and contractors; standardized process flows, data extraction layers, and reporting patterns across Discovery, Clinical, Regulatory, CMC, Supply Chain, and Finance.</w:t>
      </w:r>
    </w:p>
    <w:p w14:paraId="5257D24E" w14:textId="77777777" w:rsidR="00C11431" w:rsidRDefault="003C1475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Cloud data integration: </w:t>
      </w:r>
      <w:r>
        <w:t>Architected pipelines that brought Planisware project data, NetSuite vendor and financial data, and Workday HCM employee data into Snowflake as one consolidated, governed data set for enterprise reporting.</w:t>
      </w:r>
    </w:p>
    <w:p w14:paraId="5257D250" w14:textId="77777777" w:rsidR="00C11431" w:rsidRDefault="003C1475">
      <w:pPr>
        <w:keepNext/>
        <w:keepLines/>
        <w:tabs>
          <w:tab w:val="right" w:pos="10656"/>
        </w:tabs>
        <w:spacing w:before="110"/>
      </w:pPr>
      <w:r>
        <w:rPr>
          <w:b/>
          <w:bCs/>
          <w:sz w:val="21"/>
          <w:szCs w:val="21"/>
        </w:rPr>
        <w:t xml:space="preserve">Adaptive Biotechnologies</w:t>
      </w:r>
      <w:r>
        <w:rPr>
          <w:color w:val="555555"/>
        </w:rPr>
        <w:t xml:space="preserve">  |  Seattle, WA</w:t>
      </w:r>
      <w:r>
        <w:rPr>
          <w:b/>
          <w:bCs/>
        </w:rPr>
        <w:tab/>
        <w:t>Nov 2021 – Mar 2022</w:t>
      </w:r>
    </w:p>
    <w:p w14:paraId="5257D251" w14:textId="77777777" w:rsidR="00C11431" w:rsidRDefault="003C1475">
      <w:pPr>
        <w:keepNext/>
        <w:spacing w:after="40"/>
      </w:pPr>
      <w:r>
        <w:rPr>
          <w:b/>
          <w:bCs/>
          <w:i/>
          <w:iCs/>
          <w:color w:val="1F3A5F"/>
        </w:rPr>
        <w:t>Director — Product Portfolio Management</w:t>
      </w:r>
    </w:p>
    <w:p w14:paraId="5257D252" w14:textId="77777777" w:rsidR="00C11431" w:rsidRDefault="003C1475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Regulated patient data ecosystem: </w:t>
      </w:r>
      <w:r>
        <w:t>Owned the architecture and delivery of the commercial data ecosystem handling PHI: HIPAA-compliant patient portals, enrollment flows, customer hubs, reimbursement integrations, and clinician diagnostic tracking.</w:t>
      </w:r>
    </w:p>
    <w:p w14:paraId="5257D253" w14:textId="5EFDB5C6" w:rsidR="00C11431" w:rsidRDefault="003C1475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Organization leadership: </w:t>
      </w:r>
      <w:r>
        <w:t xml:space="preserve">Led a 15-person cross-functional organization; SAFe cadences cut sprint spillover 30%.</w:t>
      </w:r>
    </w:p>
    <w:p w14:paraId="5257D254" w14:textId="77777777" w:rsidR="00C11431" w:rsidRDefault="003C1475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Metrics &amp; analytics architecture: </w:t>
      </w:r>
      <w:r>
        <w:t>Partnered with R&amp;D, Design, Engineering, and Operations executives to align product offerings; defined OKRs, KPIs, and analytics architectures to measure adoption, optimize cost-to-deliver, and refine strategy against competitive intelligence.</w:t>
      </w:r>
    </w:p>
    <w:p w14:paraId="5257D255" w14:textId="77777777" w:rsidR="00C11431" w:rsidRDefault="003C1475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Release governance: </w:t>
      </w:r>
      <w:r>
        <w:t>Directed release planning and cross-team dependency mapping across diagnostic and commercial product lines, improving on-time delivery of quarterly platform releases.</w:t>
      </w:r>
    </w:p>
    <w:p w14:paraId="5257D25A" w14:textId="77777777" w:rsidR="00C11431" w:rsidRDefault="003C1475">
      <w:pPr>
        <w:keepNext/>
        <w:keepLines/>
        <w:tabs>
          <w:tab w:val="right" w:pos="10656"/>
        </w:tabs>
        <w:spacing w:before="110"/>
      </w:pPr>
      <w:r>
        <w:rPr>
          <w:b/>
          <w:bCs/>
          <w:sz w:val="21"/>
          <w:szCs w:val="21"/>
        </w:rPr>
        <w:t>AbbVie, Inc.</w:t>
      </w:r>
      <w:r>
        <w:rPr>
          <w:color w:val="555555"/>
        </w:rPr>
        <w:t xml:space="preserve">  |  Chicago, IL</w:t>
      </w:r>
      <w:r>
        <w:rPr>
          <w:b/>
          <w:bCs/>
        </w:rPr>
        <w:tab/>
        <w:t>May 2012 – Jul 2021</w:t>
      </w:r>
    </w:p>
    <w:p w14:paraId="5257D25B" w14:textId="77777777" w:rsidR="00C11431" w:rsidRDefault="003C1475">
      <w:pPr>
        <w:keepNext/>
        <w:spacing w:after="40"/>
      </w:pPr>
      <w:r>
        <w:rPr>
          <w:b/>
          <w:bCs/>
          <w:i/>
          <w:iCs/>
          <w:color w:val="1F3A5F"/>
        </w:rPr>
        <w:t>Senior Data Management Consultant</w:t>
      </w:r>
    </w:p>
    <w:p w14:paraId="5257D25C" w14:textId="0AAEA25A" w:rsidR="00C11431" w:rsidRDefault="003C1475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Enterprise data platform modernization: </w:t>
      </w:r>
      <w:r>
        <w:t xml:space="preserve">Owned technical delivery, architecture, and the integration roadmap for Real World Evidence registries (data lakes), Master Data Management, and specialty pharmacy fulfillment systems, with role-based access controls for regulated patient data; replaced manual workflows with automated ETL architectures, cutting core data-processing cycles 90% while improving data availability and reducing defects.</w:t>
      </w:r>
    </w:p>
    <w:p w14:paraId="5257D25D" w14:textId="77777777" w:rsidR="00C11431" w:rsidRDefault="003C1475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Real-time Patient Support Services hub: </w:t>
      </w:r>
      <w:r>
        <w:t>Architected and scaled an automated hub capturing real-time, PHI-bearing transactional data across specialty pharmacies and fulfillment networks under HIPAA, giving Sales, Marketing, and Clinical real-time patient metrics.</w:t>
      </w:r>
    </w:p>
    <w:p w14:paraId="5257D25E" w14:textId="77777777" w:rsidR="00C11431" w:rsidRDefault="003C1475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Customer data platforms: </w:t>
      </w:r>
      <w:r>
        <w:t>Directed technical product delivery and backend data alignment for Salesforce Health Cloud, Five9 telephony, and omnichannel marketing applications.</w:t>
      </w:r>
    </w:p>
    <w:p w14:paraId="5257D25F" w14:textId="77777777" w:rsidR="00C11431" w:rsidRDefault="003C1475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Technology investment: </w:t>
      </w:r>
      <w:r>
        <w:t>Led documented vendor and platform evaluations for enterprise data management tools, informing multi-year technology investment decisions; managed requirements and global releases for complex data applications, certifying production readiness with QA.</w:t>
      </w:r>
    </w:p>
    <w:p w14:paraId="6C1B0A01" w14:textId="77777777" w:rsidR="00C11431" w:rsidRDefault="003C1475">
      <w:pPr>
        <w:spacing w:before="80" w:after="0"/>
      </w:pPr>
      <w:r>
        <w:rPr>
          <w:b/>
          <w:bCs/>
        </w:rPr>
        <w:t xml:space="preserve">Additional experience: </w:t>
      </w:r>
      <w:r>
        <w:t>Cibus USA, San Diego, CA — Associate Director, Product Portfolio Management (Aug 2021 – Nov 2021).</w:t>
      </w:r>
    </w:p>
    <w:p w14:paraId="5257D260" w14:textId="77777777" w:rsidR="00C11431" w:rsidRDefault="003C1475">
      <w:pPr>
        <w:spacing w:before="80" w:after="40"/>
      </w:pPr>
      <w:r>
        <w:rPr>
          <w:b/>
          <w:bCs/>
        </w:rPr>
        <w:t xml:space="preserve">Earlier career (2007–2011): </w:t>
      </w:r>
      <w:r>
        <w:t>Great American Insurance Company (Associate Application Analyst &amp; Developer); Pacer International; Nalanda Telematics Ltd.</w:t>
      </w:r>
    </w:p>
    <w:p w14:paraId="5257D261" w14:textId="77777777" w:rsidR="00C11431" w:rsidRDefault="003C1475">
      <w:pPr>
        <w:pBdr>
          <w:bottom w:val="single" w:sz="8" w:space="2" w:color="1F3A5F"/>
        </w:pBdr>
        <w:spacing w:before="150" w:after="60"/>
      </w:pPr>
      <w:r>
        <w:rPr>
          <w:b/>
          <w:bCs/>
          <w:color w:val="1F3A5F"/>
          <w:spacing w:val="20"/>
          <w:sz w:val="22"/>
          <w:szCs w:val="22"/>
        </w:rPr>
        <w:t>TECHNICAL FLUENCY</w:t>
      </w:r>
    </w:p>
    <w:p w14:paraId="5257D262" w14:textId="5F397F06" w:rsidR="00C11431" w:rsidRDefault="003C1475">
      <w:pPr>
        <w:spacing w:after="40"/>
      </w:pPr>
      <w:r>
        <w:rPr>
          <w:b/>
          <w:bCs/>
        </w:rPr>
        <w:t xml:space="preserve">AI &amp; GenAI: </w:t>
      </w:r>
      <w:r>
        <w:t xml:space="preserve">Claude, Gemini, Gemma, LLM/SLM selection, RAG, multi-agent orchestration, Text-to-SQL, Cursor AI, LangChain, Vertex AI Agent Builder, MS AI Foundry, Ragas, pgvector, Pinecone, Milvus</w:t>
      </w:r>
    </w:p>
    <w:p w14:paraId="5257D263" w14:textId="24436EE4" w:rsidR="00C11431" w:rsidRDefault="003C1475">
      <w:pPr>
        <w:spacing w:after="40"/>
      </w:pPr>
      <w:r>
        <w:rPr>
          <w:b/>
          <w:bCs/>
        </w:rPr>
        <w:t xml:space="preserve">Data &amp; BI Platforms, Languages: </w:t>
      </w:r>
      <w:r>
        <w:t xml:space="preserve">Snowflake, Databricks, BigQuery, PostgreSQL, Oracle, SQL, Python, PySpark, MS Fabric, OneLake, Power BI, Tableau</w:t>
      </w:r>
    </w:p>
    <w:p w14:paraId="5257D264" w14:textId="77777777" w:rsidR="00C11431" w:rsidRDefault="003C1475">
      <w:pPr>
        <w:spacing w:after="40"/>
      </w:pPr>
      <w:r>
        <w:rPr>
          <w:b/>
          <w:bCs/>
        </w:rPr>
        <w:t xml:space="preserve">Cloud &amp; Enterprise: </w:t>
      </w:r>
      <w:r>
        <w:t xml:space="preserve">Azure, AWS, GCP; Salesforce Health Cloud, Workday HCM, NetSuite, Planisware</w:t>
      </w:r>
    </w:p>
    <w:p w14:paraId="6C1B0A02" w14:textId="77777777" w:rsidR="00C11431" w:rsidRDefault="003C1475">
      <w:pPr>
        <w:spacing w:after="40"/>
      </w:pPr>
      <w:r>
        <w:rPr>
          <w:b/>
          <w:bCs/>
        </w:rPr>
        <w:t xml:space="preserve">Architecture &amp; LLMOps: </w:t>
      </w:r>
      <w:r>
        <w:t xml:space="preserve">Reference architectures, hybrid LLM + deterministic patterns, human-in-the-loop design, Ragas evaluation, pre-release accuracy &amp; latency gates, context-injection guardrails, schema-drift monitoring, model uptime &amp; accuracy SLAs</w:t>
      </w:r>
    </w:p>
    <w:p w14:paraId="6C1B0A03" w14:textId="77777777" w:rsidR="00C11431" w:rsidRDefault="003C1475">
      <w:pPr>
        <w:spacing w:after="40"/>
      </w:pPr>
      <w:r>
        <w:rPr>
          <w:b/>
          <w:bCs/>
        </w:rPr>
        <w:t xml:space="preserve">Security &amp; Compliance: </w:t>
      </w:r>
      <w:r>
        <w:t xml:space="preserve">HIPAA, PHI/PII handling, role-based access control, responsible AI governance, data governance, quality &amp; MDM</w:t>
      </w:r>
    </w:p>
    <w:p w14:paraId="5257D265" w14:textId="77777777" w:rsidR="00C11431" w:rsidRDefault="003C1475">
      <w:pPr>
        <w:pBdr>
          <w:bottom w:val="single" w:sz="8" w:space="2" w:color="1F3A5F"/>
        </w:pBdr>
        <w:spacing w:before="150" w:after="60"/>
      </w:pPr>
      <w:r>
        <w:rPr>
          <w:b/>
          <w:bCs/>
          <w:color w:val="1F3A5F"/>
          <w:spacing w:val="20"/>
          <w:sz w:val="22"/>
          <w:szCs w:val="22"/>
        </w:rPr>
        <w:t>EDUCATION &amp; CERTIFICATIONS</w:t>
      </w:r>
    </w:p>
    <w:p w14:paraId="5257D266" w14:textId="77777777" w:rsidR="00C11431" w:rsidRDefault="003C1475">
      <w:pPr>
        <w:spacing w:after="40"/>
      </w:pPr>
      <w:r>
        <w:rPr>
          <w:b/>
          <w:bCs/>
        </w:rPr>
        <w:t>MBA, Management &amp; Strategy, Marketing, Finance</w:t>
      </w:r>
      <w:r>
        <w:t xml:space="preserve"> — Kellogg School of Management, Northwestern University</w:t>
      </w:r>
    </w:p>
    <w:p w14:paraId="5257D267" w14:textId="77777777" w:rsidR="00C11431" w:rsidRDefault="003C1475">
      <w:pPr>
        <w:spacing w:after="40"/>
      </w:pPr>
      <w:r>
        <w:rPr>
          <w:b/>
          <w:bCs/>
        </w:rPr>
        <w:t>MS, Management Information Systems</w:t>
      </w:r>
      <w:r>
        <w:t xml:space="preserve"> — Lindner College of Business, University of Cincinnati</w:t>
      </w:r>
    </w:p>
    <w:p w14:paraId="5257D268" w14:textId="77777777" w:rsidR="00C11431" w:rsidRDefault="003C1475">
      <w:pPr>
        <w:spacing w:after="40"/>
      </w:pPr>
      <w:r>
        <w:rPr>
          <w:b/>
          <w:bCs/>
        </w:rPr>
        <w:t>BS, Electronics &amp; Communications Engineering</w:t>
      </w:r>
      <w:r>
        <w:t xml:space="preserve"> — Osmania University, Hyderabad, India</w:t>
      </w:r>
    </w:p>
    <w:p w14:paraId="5257D269" w14:textId="77777777" w:rsidR="00C11431" w:rsidRDefault="003C1475">
      <w:pPr>
        <w:spacing w:after="40"/>
      </w:pPr>
      <w:r>
        <w:rPr>
          <w:b/>
          <w:bCs/>
        </w:rPr>
        <w:t xml:space="preserve">Certifications: </w:t>
      </w:r>
      <w:r>
        <w:t xml:space="preserve">PMP (Project Management Professional)  |  SMAC (Scrum Master Accredited)  |  Oracle Certified Master</w:t>
      </w:r>
    </w:p>
    <w:sectPr w:rsidR="00C11431" w:rsidSect="003B26DF">
      <w:pgSz w:w="12240" w:h="15840"/>
      <w:pgMar w:top="432" w:right="432" w:bottom="432" w:left="432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20EFF" w14:textId="77777777" w:rsidR="00167092" w:rsidRDefault="00167092" w:rsidP="001961B5">
      <w:r>
        <w:separator/>
      </w:r>
    </w:p>
  </w:endnote>
  <w:endnote w:type="continuationSeparator" w:id="0">
    <w:p w14:paraId="20C4DDA6" w14:textId="77777777" w:rsidR="00167092" w:rsidRDefault="00167092" w:rsidP="00196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41211" w14:textId="77777777" w:rsidR="00167092" w:rsidRDefault="00167092" w:rsidP="001961B5">
      <w:r>
        <w:separator/>
      </w:r>
    </w:p>
  </w:footnote>
  <w:footnote w:type="continuationSeparator" w:id="0">
    <w:p w14:paraId="57DFF030" w14:textId="77777777" w:rsidR="00167092" w:rsidRDefault="00167092" w:rsidP="001961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420A"/>
    <w:multiLevelType w:val="hybridMultilevel"/>
    <w:tmpl w:val="1F8CB048"/>
    <w:lvl w:ilvl="0" w:tplc="644C1B2C">
      <w:start w:val="1"/>
      <w:numFmt w:val="bullet"/>
      <w:lvlText w:val="●"/>
      <w:lvlJc w:val="left"/>
      <w:pPr>
        <w:ind w:left="720" w:hanging="360"/>
      </w:pPr>
    </w:lvl>
    <w:lvl w:ilvl="1" w:tplc="EA508664">
      <w:start w:val="1"/>
      <w:numFmt w:val="bullet"/>
      <w:lvlText w:val="○"/>
      <w:lvlJc w:val="left"/>
      <w:pPr>
        <w:ind w:left="1440" w:hanging="360"/>
      </w:pPr>
    </w:lvl>
    <w:lvl w:ilvl="2" w:tplc="15E43A7C">
      <w:start w:val="1"/>
      <w:numFmt w:val="bullet"/>
      <w:lvlText w:val="■"/>
      <w:lvlJc w:val="left"/>
      <w:pPr>
        <w:ind w:left="2160" w:hanging="360"/>
      </w:pPr>
    </w:lvl>
    <w:lvl w:ilvl="3" w:tplc="F85A22B2">
      <w:start w:val="1"/>
      <w:numFmt w:val="bullet"/>
      <w:lvlText w:val="●"/>
      <w:lvlJc w:val="left"/>
      <w:pPr>
        <w:ind w:left="2880" w:hanging="360"/>
      </w:pPr>
    </w:lvl>
    <w:lvl w:ilvl="4" w:tplc="60CE41F2">
      <w:start w:val="1"/>
      <w:numFmt w:val="bullet"/>
      <w:lvlText w:val="○"/>
      <w:lvlJc w:val="left"/>
      <w:pPr>
        <w:ind w:left="3600" w:hanging="360"/>
      </w:pPr>
    </w:lvl>
    <w:lvl w:ilvl="5" w:tplc="32F2EEB4">
      <w:start w:val="1"/>
      <w:numFmt w:val="bullet"/>
      <w:lvlText w:val="■"/>
      <w:lvlJc w:val="left"/>
      <w:pPr>
        <w:ind w:left="4320" w:hanging="360"/>
      </w:pPr>
    </w:lvl>
    <w:lvl w:ilvl="6" w:tplc="2BB2CAEC">
      <w:start w:val="1"/>
      <w:numFmt w:val="bullet"/>
      <w:lvlText w:val="●"/>
      <w:lvlJc w:val="left"/>
      <w:pPr>
        <w:ind w:left="5040" w:hanging="360"/>
      </w:pPr>
    </w:lvl>
    <w:lvl w:ilvl="7" w:tplc="34BC6B0C">
      <w:start w:val="1"/>
      <w:numFmt w:val="bullet"/>
      <w:lvlText w:val="●"/>
      <w:lvlJc w:val="left"/>
      <w:pPr>
        <w:ind w:left="5760" w:hanging="360"/>
      </w:pPr>
    </w:lvl>
    <w:lvl w:ilvl="8" w:tplc="286E69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2A7441"/>
    <w:multiLevelType w:val="hybridMultilevel"/>
    <w:tmpl w:val="7E1201AA"/>
    <w:lvl w:ilvl="0" w:tplc="3204297C">
      <w:start w:val="1"/>
      <w:numFmt w:val="bullet"/>
      <w:lvlText w:val="•"/>
      <w:lvlJc w:val="left"/>
      <w:pPr>
        <w:ind w:left="300" w:hanging="220"/>
      </w:pPr>
    </w:lvl>
    <w:lvl w:ilvl="1" w:tplc="C9262F32">
      <w:numFmt w:val="decimal"/>
      <w:lvlText w:val=""/>
      <w:lvlJc w:val="left"/>
    </w:lvl>
    <w:lvl w:ilvl="2" w:tplc="F724A50E">
      <w:numFmt w:val="decimal"/>
      <w:lvlText w:val=""/>
      <w:lvlJc w:val="left"/>
    </w:lvl>
    <w:lvl w:ilvl="3" w:tplc="A50082E4">
      <w:numFmt w:val="decimal"/>
      <w:lvlText w:val=""/>
      <w:lvlJc w:val="left"/>
    </w:lvl>
    <w:lvl w:ilvl="4" w:tplc="FEFEEDA2">
      <w:numFmt w:val="decimal"/>
      <w:lvlText w:val=""/>
      <w:lvlJc w:val="left"/>
    </w:lvl>
    <w:lvl w:ilvl="5" w:tplc="12C43396">
      <w:numFmt w:val="decimal"/>
      <w:lvlText w:val=""/>
      <w:lvlJc w:val="left"/>
    </w:lvl>
    <w:lvl w:ilvl="6" w:tplc="9040650C">
      <w:numFmt w:val="decimal"/>
      <w:lvlText w:val=""/>
      <w:lvlJc w:val="left"/>
    </w:lvl>
    <w:lvl w:ilvl="7" w:tplc="027EDB88">
      <w:numFmt w:val="decimal"/>
      <w:lvlText w:val=""/>
      <w:lvlJc w:val="left"/>
    </w:lvl>
    <w:lvl w:ilvl="8" w:tplc="A1664A42">
      <w:numFmt w:val="decimal"/>
      <w:lvlText w:val=""/>
      <w:lvlJc w:val="left"/>
    </w:lvl>
  </w:abstractNum>
  <w:num w:numId="1" w16cid:durableId="538514388">
    <w:abstractNumId w:val="0"/>
    <w:lvlOverride w:ilvl="0">
      <w:startOverride w:val="1"/>
    </w:lvlOverride>
  </w:num>
  <w:num w:numId="2" w16cid:durableId="7156600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431"/>
    <w:rsid w:val="000C37C6"/>
    <w:rsid w:val="00106F4E"/>
    <w:rsid w:val="00167092"/>
    <w:rsid w:val="001961B5"/>
    <w:rsid w:val="001A6BE2"/>
    <w:rsid w:val="001D68B2"/>
    <w:rsid w:val="001F7E32"/>
    <w:rsid w:val="00292A66"/>
    <w:rsid w:val="003444B5"/>
    <w:rsid w:val="003B26DF"/>
    <w:rsid w:val="003C1475"/>
    <w:rsid w:val="003C4FAF"/>
    <w:rsid w:val="003D048F"/>
    <w:rsid w:val="003F3941"/>
    <w:rsid w:val="00431D24"/>
    <w:rsid w:val="00456EAE"/>
    <w:rsid w:val="005155DE"/>
    <w:rsid w:val="00624FAB"/>
    <w:rsid w:val="006F6F5B"/>
    <w:rsid w:val="007015AC"/>
    <w:rsid w:val="00713F41"/>
    <w:rsid w:val="009124CB"/>
    <w:rsid w:val="0092059C"/>
    <w:rsid w:val="00956776"/>
    <w:rsid w:val="0097053C"/>
    <w:rsid w:val="00A12387"/>
    <w:rsid w:val="00A1482C"/>
    <w:rsid w:val="00A363D2"/>
    <w:rsid w:val="00A96867"/>
    <w:rsid w:val="00BD68F9"/>
    <w:rsid w:val="00BE415E"/>
    <w:rsid w:val="00C11431"/>
    <w:rsid w:val="00CC1A3B"/>
    <w:rsid w:val="00D12DE0"/>
    <w:rsid w:val="00D41425"/>
    <w:rsid w:val="00DF4C1F"/>
    <w:rsid w:val="00DF6C4A"/>
    <w:rsid w:val="00E72B5F"/>
    <w:rsid w:val="00FF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7D221"/>
  <w15:docId w15:val="{9B1FF088-E10A-4E77-8468-32AD58CA8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61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61B5"/>
  </w:style>
  <w:style w:type="paragraph" w:styleId="Footer">
    <w:name w:val="footer"/>
    <w:basedOn w:val="Normal"/>
    <w:link w:val="FooterChar"/>
    <w:uiPriority w:val="99"/>
    <w:unhideWhenUsed/>
    <w:rsid w:val="001961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61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1617</TotalTime>
  <Pages>2</Pages>
  <Words>1433</Words>
  <Characters>8170</Characters>
  <Application>Microsoft Office Word</Application>
  <DocSecurity>0</DocSecurity>
  <Lines>68</Lines>
  <Paragraphs>19</Paragraphs>
  <ScaleCrop>false</ScaleCrop>
  <Company/>
  <LinksUpToDate>false</LinksUpToDate>
  <CharactersWithSpaces>9584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Pujitha Nannapaneni</cp:lastModifiedBy>
  <cp:revision>23</cp:revision>
  <cp:lastPrinted>2026-09-24T23:52:00Z</cp:lastPrinted>
  <dcterms:created xsi:type="dcterms:W3CDTF">2026-09-24T16:52:00Z</dcterms:created>
  <dcterms:modified xsi:type="dcterms:W3CDTF">2026-10-01T18:00:00Z</dcterms:modified>
</cp:coreProperties>
</file>